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49AB76" w14:textId="77777777" w:rsidR="00DD130E" w:rsidRPr="007D11E3" w:rsidRDefault="00DD130E" w:rsidP="00B82F0F">
      <w:pPr>
        <w:pBdr>
          <w:bottom w:val="single" w:sz="12" w:space="1" w:color="auto"/>
        </w:pBdr>
        <w:rPr>
          <w:szCs w:val="24"/>
        </w:rPr>
      </w:pPr>
    </w:p>
    <w:p w14:paraId="6043D676" w14:textId="77777777" w:rsidR="0012338F" w:rsidRPr="007D11E3" w:rsidRDefault="00DD130E" w:rsidP="00B82F0F">
      <w:pPr>
        <w:jc w:val="both"/>
        <w:rPr>
          <w:b/>
          <w:szCs w:val="24"/>
        </w:rPr>
      </w:pPr>
      <w:r w:rsidRPr="007D11E3">
        <w:rPr>
          <w:i/>
          <w:szCs w:val="24"/>
        </w:rPr>
        <w:softHyphen/>
      </w:r>
      <w:r w:rsidRPr="007D11E3">
        <w:rPr>
          <w:i/>
          <w:szCs w:val="24"/>
        </w:rPr>
        <w:softHyphen/>
      </w:r>
      <w:r w:rsidRPr="007D11E3">
        <w:rPr>
          <w:i/>
          <w:szCs w:val="24"/>
        </w:rPr>
        <w:softHyphen/>
      </w:r>
      <w:r w:rsidRPr="007D11E3">
        <w:rPr>
          <w:i/>
          <w:szCs w:val="24"/>
        </w:rPr>
        <w:softHyphen/>
      </w:r>
      <w:r w:rsidRPr="007D11E3">
        <w:rPr>
          <w:i/>
          <w:szCs w:val="24"/>
        </w:rPr>
        <w:softHyphen/>
      </w:r>
      <w:r w:rsidRPr="007D11E3">
        <w:rPr>
          <w:i/>
          <w:szCs w:val="24"/>
        </w:rPr>
        <w:softHyphen/>
      </w:r>
      <w:r w:rsidRPr="007D11E3">
        <w:rPr>
          <w:i/>
          <w:szCs w:val="24"/>
        </w:rPr>
        <w:softHyphen/>
      </w:r>
      <w:r w:rsidRPr="007D11E3">
        <w:rPr>
          <w:i/>
          <w:szCs w:val="24"/>
        </w:rPr>
        <w:softHyphen/>
      </w:r>
      <w:r w:rsidRPr="007D11E3">
        <w:rPr>
          <w:i/>
          <w:szCs w:val="24"/>
        </w:rPr>
        <w:softHyphen/>
      </w:r>
      <w:r w:rsidRPr="007D11E3">
        <w:rPr>
          <w:i/>
          <w:szCs w:val="24"/>
        </w:rPr>
        <w:softHyphen/>
      </w:r>
      <w:r w:rsidRPr="007D11E3">
        <w:rPr>
          <w:i/>
          <w:szCs w:val="24"/>
        </w:rPr>
        <w:softHyphen/>
      </w:r>
      <w:r w:rsidRPr="007D11E3">
        <w:rPr>
          <w:i/>
          <w:szCs w:val="24"/>
        </w:rPr>
        <w:softHyphen/>
      </w:r>
      <w:r w:rsidRPr="007D11E3">
        <w:rPr>
          <w:i/>
          <w:szCs w:val="24"/>
        </w:rPr>
        <w:softHyphen/>
      </w:r>
      <w:r w:rsidRPr="007D11E3">
        <w:rPr>
          <w:i/>
          <w:szCs w:val="24"/>
        </w:rPr>
        <w:softHyphen/>
      </w:r>
      <w:r w:rsidRPr="007D11E3">
        <w:rPr>
          <w:i/>
          <w:szCs w:val="24"/>
        </w:rPr>
        <w:softHyphen/>
      </w:r>
      <w:r w:rsidRPr="007D11E3">
        <w:rPr>
          <w:i/>
          <w:szCs w:val="24"/>
        </w:rPr>
        <w:softHyphen/>
      </w:r>
    </w:p>
    <w:tbl>
      <w:tblPr>
        <w:tblW w:w="0" w:type="auto"/>
        <w:tblLayout w:type="fixed"/>
        <w:tblLook w:val="0000" w:firstRow="0" w:lastRow="0" w:firstColumn="0" w:lastColumn="0" w:noHBand="0" w:noVBand="0"/>
      </w:tblPr>
      <w:tblGrid>
        <w:gridCol w:w="4428"/>
        <w:gridCol w:w="4770"/>
      </w:tblGrid>
      <w:tr w:rsidR="0012338F" w:rsidRPr="007D11E3" w14:paraId="648352EC" w14:textId="77777777" w:rsidTr="00067676">
        <w:tc>
          <w:tcPr>
            <w:tcW w:w="4428" w:type="dxa"/>
          </w:tcPr>
          <w:p w14:paraId="25874BCE" w14:textId="77777777" w:rsidR="0012338F" w:rsidRPr="007D11E3" w:rsidRDefault="0012338F" w:rsidP="00935E1D">
            <w:pPr>
              <w:pStyle w:val="Footer"/>
              <w:widowControl w:val="0"/>
              <w:tabs>
                <w:tab w:val="clear" w:pos="4320"/>
                <w:tab w:val="clear" w:pos="8640"/>
              </w:tabs>
              <w:rPr>
                <w:snapToGrid w:val="0"/>
                <w:szCs w:val="24"/>
              </w:rPr>
            </w:pPr>
            <w:r w:rsidRPr="007D11E3">
              <w:rPr>
                <w:snapToGrid w:val="0"/>
                <w:szCs w:val="24"/>
              </w:rPr>
              <w:t xml:space="preserve">OGS TV, INC.         </w:t>
            </w:r>
          </w:p>
          <w:p w14:paraId="5273D6A1" w14:textId="77777777" w:rsidR="0012338F" w:rsidRPr="007D11E3" w:rsidRDefault="0012338F" w:rsidP="00935E1D">
            <w:pPr>
              <w:pStyle w:val="Footer"/>
              <w:widowControl w:val="0"/>
              <w:tabs>
                <w:tab w:val="clear" w:pos="4320"/>
                <w:tab w:val="clear" w:pos="8640"/>
              </w:tabs>
              <w:rPr>
                <w:snapToGrid w:val="0"/>
                <w:szCs w:val="24"/>
              </w:rPr>
            </w:pPr>
            <w:r w:rsidRPr="007D11E3">
              <w:rPr>
                <w:snapToGrid w:val="0"/>
                <w:szCs w:val="24"/>
              </w:rPr>
              <w:t xml:space="preserve">                           Plaintiff,</w:t>
            </w:r>
          </w:p>
        </w:tc>
        <w:tc>
          <w:tcPr>
            <w:tcW w:w="4770" w:type="dxa"/>
          </w:tcPr>
          <w:p w14:paraId="40FDD28D" w14:textId="77777777" w:rsidR="0012338F" w:rsidRPr="007D11E3" w:rsidRDefault="0012338F" w:rsidP="00F67E85">
            <w:pPr>
              <w:pStyle w:val="Footer"/>
              <w:widowControl w:val="0"/>
              <w:tabs>
                <w:tab w:val="clear" w:pos="4320"/>
                <w:tab w:val="clear" w:pos="8640"/>
              </w:tabs>
              <w:rPr>
                <w:snapToGrid w:val="0"/>
                <w:szCs w:val="24"/>
              </w:rPr>
            </w:pPr>
            <w:r w:rsidRPr="007D11E3">
              <w:rPr>
                <w:snapToGrid w:val="0"/>
                <w:szCs w:val="24"/>
              </w:rPr>
              <w:t xml:space="preserve">               Court File No. 27-CV-12-1234</w:t>
            </w:r>
          </w:p>
        </w:tc>
      </w:tr>
      <w:tr w:rsidR="0012338F" w:rsidRPr="007D11E3" w14:paraId="2460FE83" w14:textId="77777777" w:rsidTr="00067676">
        <w:tc>
          <w:tcPr>
            <w:tcW w:w="4428" w:type="dxa"/>
          </w:tcPr>
          <w:p w14:paraId="1D111090" w14:textId="77777777" w:rsidR="0012338F" w:rsidRPr="007D11E3" w:rsidRDefault="0012338F" w:rsidP="00935E1D">
            <w:pPr>
              <w:pStyle w:val="Footer"/>
              <w:widowControl w:val="0"/>
              <w:tabs>
                <w:tab w:val="clear" w:pos="4320"/>
                <w:tab w:val="clear" w:pos="8640"/>
              </w:tabs>
              <w:rPr>
                <w:snapToGrid w:val="0"/>
                <w:szCs w:val="24"/>
              </w:rPr>
            </w:pPr>
          </w:p>
          <w:p w14:paraId="32B51C36" w14:textId="77777777" w:rsidR="0012338F" w:rsidRPr="007D11E3" w:rsidRDefault="0012338F" w:rsidP="00935E1D">
            <w:pPr>
              <w:pStyle w:val="Footer"/>
              <w:widowControl w:val="0"/>
              <w:tabs>
                <w:tab w:val="clear" w:pos="4320"/>
                <w:tab w:val="clear" w:pos="8640"/>
              </w:tabs>
              <w:rPr>
                <w:snapToGrid w:val="0"/>
                <w:szCs w:val="24"/>
              </w:rPr>
            </w:pPr>
            <w:r w:rsidRPr="007D11E3">
              <w:rPr>
                <w:snapToGrid w:val="0"/>
                <w:szCs w:val="24"/>
              </w:rPr>
              <w:t>v.</w:t>
            </w:r>
          </w:p>
        </w:tc>
        <w:tc>
          <w:tcPr>
            <w:tcW w:w="4770" w:type="dxa"/>
          </w:tcPr>
          <w:p w14:paraId="69080A6C" w14:textId="77777777" w:rsidR="0012338F" w:rsidRPr="007D11E3" w:rsidRDefault="0012338F" w:rsidP="00935E1D">
            <w:pPr>
              <w:pStyle w:val="Footer"/>
              <w:widowControl w:val="0"/>
              <w:tabs>
                <w:tab w:val="clear" w:pos="4320"/>
                <w:tab w:val="clear" w:pos="8640"/>
              </w:tabs>
              <w:rPr>
                <w:b/>
                <w:snapToGrid w:val="0"/>
                <w:szCs w:val="24"/>
              </w:rPr>
            </w:pPr>
            <w:r w:rsidRPr="007D11E3">
              <w:rPr>
                <w:b/>
                <w:snapToGrid w:val="0"/>
                <w:szCs w:val="24"/>
              </w:rPr>
              <w:t xml:space="preserve">               PLAINTIFF’S MEMORANDUM</w:t>
            </w:r>
          </w:p>
          <w:p w14:paraId="7484C406" w14:textId="77777777" w:rsidR="0012338F" w:rsidRPr="007D11E3" w:rsidRDefault="0012338F" w:rsidP="00F67E85">
            <w:pPr>
              <w:rPr>
                <w:b/>
                <w:szCs w:val="24"/>
              </w:rPr>
            </w:pPr>
            <w:r w:rsidRPr="007D11E3">
              <w:rPr>
                <w:b/>
                <w:szCs w:val="24"/>
              </w:rPr>
              <w:t xml:space="preserve">               IN OPPOSITION OF MOTION</w:t>
            </w:r>
          </w:p>
        </w:tc>
      </w:tr>
      <w:tr w:rsidR="0012338F" w:rsidRPr="007D11E3" w14:paraId="7D47D7C6" w14:textId="77777777" w:rsidTr="00067676">
        <w:tc>
          <w:tcPr>
            <w:tcW w:w="4428" w:type="dxa"/>
          </w:tcPr>
          <w:p w14:paraId="3810A375" w14:textId="77777777" w:rsidR="0012338F" w:rsidRPr="007D11E3" w:rsidRDefault="0012338F" w:rsidP="00935E1D">
            <w:pPr>
              <w:pStyle w:val="Footer"/>
              <w:widowControl w:val="0"/>
              <w:tabs>
                <w:tab w:val="clear" w:pos="4320"/>
                <w:tab w:val="clear" w:pos="8640"/>
              </w:tabs>
              <w:rPr>
                <w:snapToGrid w:val="0"/>
                <w:szCs w:val="24"/>
              </w:rPr>
            </w:pPr>
          </w:p>
          <w:p w14:paraId="715B9E5C" w14:textId="77777777" w:rsidR="0012338F" w:rsidRPr="007D11E3" w:rsidRDefault="0012338F" w:rsidP="00935E1D">
            <w:pPr>
              <w:pStyle w:val="Footer"/>
              <w:widowControl w:val="0"/>
              <w:tabs>
                <w:tab w:val="clear" w:pos="4320"/>
                <w:tab w:val="clear" w:pos="8640"/>
              </w:tabs>
              <w:rPr>
                <w:snapToGrid w:val="0"/>
                <w:szCs w:val="24"/>
              </w:rPr>
            </w:pPr>
            <w:r w:rsidRPr="007D11E3">
              <w:rPr>
                <w:snapToGrid w:val="0"/>
                <w:szCs w:val="24"/>
              </w:rPr>
              <w:t xml:space="preserve">Elizabeth Lime and TinyTV, Inc. </w:t>
            </w:r>
          </w:p>
          <w:p w14:paraId="62D72DF9" w14:textId="77777777" w:rsidR="0012338F" w:rsidRPr="007D11E3" w:rsidRDefault="0012338F" w:rsidP="00935E1D">
            <w:pPr>
              <w:pStyle w:val="Footer"/>
              <w:widowControl w:val="0"/>
              <w:tabs>
                <w:tab w:val="clear" w:pos="4320"/>
                <w:tab w:val="clear" w:pos="8640"/>
              </w:tabs>
              <w:rPr>
                <w:snapToGrid w:val="0"/>
                <w:szCs w:val="24"/>
              </w:rPr>
            </w:pPr>
            <w:r w:rsidRPr="007D11E3">
              <w:rPr>
                <w:snapToGrid w:val="0"/>
                <w:szCs w:val="24"/>
              </w:rPr>
              <w:t xml:space="preserve">                           Defendants.</w:t>
            </w:r>
          </w:p>
        </w:tc>
        <w:tc>
          <w:tcPr>
            <w:tcW w:w="4770" w:type="dxa"/>
          </w:tcPr>
          <w:p w14:paraId="740BA1B7" w14:textId="77777777" w:rsidR="0012338F" w:rsidRPr="007D11E3" w:rsidRDefault="0012338F" w:rsidP="00934F71">
            <w:pPr>
              <w:ind w:left="882"/>
              <w:rPr>
                <w:b/>
                <w:szCs w:val="24"/>
              </w:rPr>
            </w:pPr>
            <w:r w:rsidRPr="007D11E3">
              <w:rPr>
                <w:b/>
                <w:szCs w:val="24"/>
              </w:rPr>
              <w:t xml:space="preserve">TO DISMISS UNDER FEDERAL RULE OF CIVIL PROCEDURE 12(b)(6)          </w:t>
            </w:r>
          </w:p>
        </w:tc>
      </w:tr>
    </w:tbl>
    <w:p w14:paraId="482DAF28" w14:textId="77777777" w:rsidR="0012338F" w:rsidRPr="007D11E3" w:rsidRDefault="0012338F" w:rsidP="00934F71">
      <w:pPr>
        <w:pBdr>
          <w:bottom w:val="single" w:sz="12" w:space="1" w:color="auto"/>
        </w:pBdr>
        <w:rPr>
          <w:szCs w:val="24"/>
        </w:rPr>
      </w:pPr>
    </w:p>
    <w:p w14:paraId="1BA55E7C" w14:textId="77777777" w:rsidR="0012338F" w:rsidRPr="007D11E3" w:rsidRDefault="0012338F" w:rsidP="00F67E85">
      <w:pPr>
        <w:jc w:val="both"/>
        <w:rPr>
          <w:i/>
          <w:szCs w:val="24"/>
        </w:rPr>
      </w:pPr>
      <w:r w:rsidRPr="007D11E3">
        <w:rPr>
          <w:i/>
          <w:szCs w:val="24"/>
        </w:rPr>
        <w:softHyphen/>
      </w:r>
      <w:r w:rsidRPr="007D11E3">
        <w:rPr>
          <w:i/>
          <w:szCs w:val="24"/>
        </w:rPr>
        <w:softHyphen/>
      </w:r>
      <w:r w:rsidRPr="007D11E3">
        <w:rPr>
          <w:i/>
          <w:szCs w:val="24"/>
        </w:rPr>
        <w:softHyphen/>
      </w:r>
      <w:r w:rsidRPr="007D11E3">
        <w:rPr>
          <w:i/>
          <w:szCs w:val="24"/>
        </w:rPr>
        <w:softHyphen/>
      </w:r>
      <w:r w:rsidRPr="007D11E3">
        <w:rPr>
          <w:i/>
          <w:szCs w:val="24"/>
        </w:rPr>
        <w:softHyphen/>
      </w:r>
      <w:r w:rsidRPr="007D11E3">
        <w:rPr>
          <w:i/>
          <w:szCs w:val="24"/>
        </w:rPr>
        <w:softHyphen/>
      </w:r>
      <w:r w:rsidRPr="007D11E3">
        <w:rPr>
          <w:i/>
          <w:szCs w:val="24"/>
        </w:rPr>
        <w:softHyphen/>
      </w:r>
      <w:r w:rsidRPr="007D11E3">
        <w:rPr>
          <w:i/>
          <w:szCs w:val="24"/>
        </w:rPr>
        <w:softHyphen/>
      </w:r>
      <w:r w:rsidRPr="007D11E3">
        <w:rPr>
          <w:i/>
          <w:szCs w:val="24"/>
        </w:rPr>
        <w:softHyphen/>
      </w:r>
      <w:r w:rsidRPr="007D11E3">
        <w:rPr>
          <w:i/>
          <w:szCs w:val="24"/>
        </w:rPr>
        <w:softHyphen/>
      </w:r>
      <w:r w:rsidRPr="007D11E3">
        <w:rPr>
          <w:i/>
          <w:szCs w:val="24"/>
        </w:rPr>
        <w:softHyphen/>
      </w:r>
      <w:r w:rsidRPr="007D11E3">
        <w:rPr>
          <w:i/>
          <w:szCs w:val="24"/>
        </w:rPr>
        <w:softHyphen/>
      </w:r>
      <w:r w:rsidRPr="007D11E3">
        <w:rPr>
          <w:i/>
          <w:szCs w:val="24"/>
        </w:rPr>
        <w:softHyphen/>
      </w:r>
      <w:r w:rsidRPr="007D11E3">
        <w:rPr>
          <w:i/>
          <w:szCs w:val="24"/>
        </w:rPr>
        <w:softHyphen/>
      </w:r>
      <w:r w:rsidRPr="007D11E3">
        <w:rPr>
          <w:i/>
          <w:szCs w:val="24"/>
        </w:rPr>
        <w:softHyphen/>
      </w:r>
      <w:r w:rsidRPr="007D11E3">
        <w:rPr>
          <w:i/>
          <w:szCs w:val="24"/>
        </w:rPr>
        <w:softHyphen/>
      </w:r>
    </w:p>
    <w:p w14:paraId="3226836E" w14:textId="77777777" w:rsidR="0012338F" w:rsidRPr="007D11E3" w:rsidRDefault="0012338F" w:rsidP="00F67E85">
      <w:pPr>
        <w:pStyle w:val="Heading2"/>
        <w:rPr>
          <w:szCs w:val="24"/>
          <w:u w:val="single"/>
        </w:rPr>
      </w:pPr>
      <w:r w:rsidRPr="007D11E3">
        <w:rPr>
          <w:szCs w:val="24"/>
          <w:u w:val="single"/>
        </w:rPr>
        <w:t>INTRODUCTION</w:t>
      </w:r>
    </w:p>
    <w:p w14:paraId="0A8CD846" w14:textId="77777777" w:rsidR="0012338F" w:rsidRPr="007D11E3" w:rsidRDefault="0012338F" w:rsidP="00F67E85">
      <w:pPr>
        <w:rPr>
          <w:szCs w:val="24"/>
        </w:rPr>
      </w:pPr>
    </w:p>
    <w:p w14:paraId="5851A994" w14:textId="77777777" w:rsidR="0012338F" w:rsidRPr="007D11E3" w:rsidRDefault="0012338F" w:rsidP="007D11E3">
      <w:pPr>
        <w:spacing w:line="480" w:lineRule="auto"/>
        <w:ind w:firstLine="720"/>
        <w:jc w:val="both"/>
        <w:rPr>
          <w:szCs w:val="24"/>
        </w:rPr>
      </w:pPr>
      <w:r w:rsidRPr="007D11E3">
        <w:rPr>
          <w:szCs w:val="24"/>
        </w:rPr>
        <w:t>Plaintiff O</w:t>
      </w:r>
      <w:r w:rsidR="000A3FF5">
        <w:rPr>
          <w:szCs w:val="24"/>
        </w:rPr>
        <w:t>GS TV, INC. (“OGS”) files this Memorandum in opposition to the Motion to Dismiss filed by D</w:t>
      </w:r>
      <w:r w:rsidRPr="007D11E3">
        <w:rPr>
          <w:szCs w:val="24"/>
        </w:rPr>
        <w:t>efendants Elizabeth Lime (“Lime”) and TinyTV, Inc. (“TinyTV”). Fo</w:t>
      </w:r>
      <w:r w:rsidR="000A3FF5">
        <w:rPr>
          <w:szCs w:val="24"/>
        </w:rPr>
        <w:t>r the reasons set forth below, Defendants’ M</w:t>
      </w:r>
      <w:r w:rsidRPr="007D11E3">
        <w:rPr>
          <w:szCs w:val="24"/>
        </w:rPr>
        <w:t>otion should be denied.</w:t>
      </w:r>
    </w:p>
    <w:p w14:paraId="4FE37CCA" w14:textId="77777777" w:rsidR="0012338F" w:rsidRPr="007D11E3" w:rsidRDefault="00E870A3" w:rsidP="007D11E3">
      <w:pPr>
        <w:pStyle w:val="BodyText"/>
        <w:spacing w:line="480" w:lineRule="auto"/>
        <w:rPr>
          <w:szCs w:val="24"/>
        </w:rPr>
      </w:pPr>
      <w:r>
        <w:rPr>
          <w:szCs w:val="24"/>
        </w:rPr>
        <w:tab/>
        <w:t>T</w:t>
      </w:r>
      <w:r w:rsidR="000B0CF0">
        <w:rPr>
          <w:szCs w:val="24"/>
        </w:rPr>
        <w:t>he question presented by th</w:t>
      </w:r>
      <w:r>
        <w:rPr>
          <w:szCs w:val="24"/>
        </w:rPr>
        <w:t xml:space="preserve">is copyright infringement case </w:t>
      </w:r>
      <w:r w:rsidR="000B0CF0">
        <w:rPr>
          <w:szCs w:val="24"/>
        </w:rPr>
        <w:t>is</w:t>
      </w:r>
      <w:r>
        <w:rPr>
          <w:szCs w:val="24"/>
        </w:rPr>
        <w:t xml:space="preserve"> what, if any, timing restrictions accompany the </w:t>
      </w:r>
      <w:r w:rsidR="000B0CF0">
        <w:rPr>
          <w:szCs w:val="24"/>
        </w:rPr>
        <w:t>written instrument</w:t>
      </w:r>
      <w:r w:rsidR="0012338F" w:rsidRPr="007D11E3">
        <w:rPr>
          <w:szCs w:val="24"/>
        </w:rPr>
        <w:t xml:space="preserve"> </w:t>
      </w:r>
      <w:r w:rsidR="000B0CF0">
        <w:rPr>
          <w:szCs w:val="24"/>
        </w:rPr>
        <w:t>requirement</w:t>
      </w:r>
      <w:r>
        <w:rPr>
          <w:szCs w:val="24"/>
        </w:rPr>
        <w:t xml:space="preserve"> </w:t>
      </w:r>
      <w:r w:rsidR="000B0CF0">
        <w:rPr>
          <w:szCs w:val="24"/>
        </w:rPr>
        <w:t>for the</w:t>
      </w:r>
      <w:r w:rsidR="00576042">
        <w:rPr>
          <w:szCs w:val="24"/>
        </w:rPr>
        <w:t xml:space="preserve"> </w:t>
      </w:r>
      <w:r w:rsidR="0012338F" w:rsidRPr="007D11E3">
        <w:rPr>
          <w:szCs w:val="24"/>
        </w:rPr>
        <w:t>work made for hire</w:t>
      </w:r>
      <w:r w:rsidR="000B0CF0">
        <w:rPr>
          <w:szCs w:val="24"/>
        </w:rPr>
        <w:t xml:space="preserve"> provision of </w:t>
      </w:r>
      <w:r w:rsidR="0012338F" w:rsidRPr="007D11E3">
        <w:rPr>
          <w:szCs w:val="24"/>
        </w:rPr>
        <w:t>the Federal Copyright Act of 1976</w:t>
      </w:r>
      <w:r>
        <w:rPr>
          <w:szCs w:val="24"/>
        </w:rPr>
        <w:t xml:space="preserve"> (“Copyright Act”)</w:t>
      </w:r>
      <w:r w:rsidR="0012338F" w:rsidRPr="007D11E3">
        <w:rPr>
          <w:szCs w:val="24"/>
        </w:rPr>
        <w:t>, spec</w:t>
      </w:r>
      <w:r>
        <w:rPr>
          <w:szCs w:val="24"/>
        </w:rPr>
        <w:t>ifically 17 U.S.C. §101(2) (2006</w:t>
      </w:r>
      <w:r w:rsidR="0012338F" w:rsidRPr="007D11E3">
        <w:rPr>
          <w:szCs w:val="24"/>
        </w:rPr>
        <w:t xml:space="preserve">). </w:t>
      </w:r>
      <w:r w:rsidR="005B5E30">
        <w:rPr>
          <w:szCs w:val="24"/>
        </w:rPr>
        <w:t>Plaintiff, who</w:t>
      </w:r>
      <w:r w:rsidR="0012338F" w:rsidRPr="007D11E3">
        <w:rPr>
          <w:szCs w:val="24"/>
        </w:rPr>
        <w:t xml:space="preserve"> commissioned the </w:t>
      </w:r>
      <w:r w:rsidR="005B3A33">
        <w:rPr>
          <w:szCs w:val="24"/>
        </w:rPr>
        <w:t>screenplay</w:t>
      </w:r>
      <w:r w:rsidR="0012338F" w:rsidRPr="007D11E3">
        <w:rPr>
          <w:szCs w:val="24"/>
        </w:rPr>
        <w:t xml:space="preserve"> in question</w:t>
      </w:r>
      <w:bookmarkStart w:id="0" w:name="_GoBack"/>
      <w:bookmarkEnd w:id="0"/>
      <w:r w:rsidR="0012338F" w:rsidRPr="007D11E3">
        <w:rPr>
          <w:szCs w:val="24"/>
        </w:rPr>
        <w:t>, asserts that an oral agreement</w:t>
      </w:r>
      <w:r w:rsidR="0035767E">
        <w:rPr>
          <w:szCs w:val="24"/>
        </w:rPr>
        <w:t xml:space="preserve"> prior to the creation of the work</w:t>
      </w:r>
      <w:r w:rsidR="0012338F" w:rsidRPr="007D11E3">
        <w:rPr>
          <w:szCs w:val="24"/>
        </w:rPr>
        <w:t>, combined wi</w:t>
      </w:r>
      <w:r w:rsidR="005B3A33">
        <w:rPr>
          <w:szCs w:val="24"/>
        </w:rPr>
        <w:t>th a subsequent written instrument</w:t>
      </w:r>
      <w:r w:rsidR="0012338F" w:rsidRPr="007D11E3">
        <w:rPr>
          <w:szCs w:val="24"/>
        </w:rPr>
        <w:t xml:space="preserve"> acknowledging the oral agreement, meet</w:t>
      </w:r>
      <w:r w:rsidR="00DD130E" w:rsidRPr="007D11E3">
        <w:rPr>
          <w:szCs w:val="24"/>
        </w:rPr>
        <w:t>s</w:t>
      </w:r>
      <w:r w:rsidR="00E40CC4">
        <w:rPr>
          <w:szCs w:val="24"/>
        </w:rPr>
        <w:t xml:space="preserve"> the</w:t>
      </w:r>
      <w:r w:rsidR="0012338F" w:rsidRPr="007D11E3">
        <w:rPr>
          <w:szCs w:val="24"/>
        </w:rPr>
        <w:t xml:space="preserve"> </w:t>
      </w:r>
      <w:r w:rsidR="00DD130E" w:rsidRPr="007D11E3">
        <w:rPr>
          <w:szCs w:val="24"/>
        </w:rPr>
        <w:t xml:space="preserve">statutory </w:t>
      </w:r>
      <w:r w:rsidR="0012338F" w:rsidRPr="007D11E3">
        <w:rPr>
          <w:szCs w:val="24"/>
        </w:rPr>
        <w:t xml:space="preserve">requirement. Defendants, meanwhile, </w:t>
      </w:r>
      <w:r w:rsidR="00DD130E" w:rsidRPr="007D11E3">
        <w:rPr>
          <w:szCs w:val="24"/>
        </w:rPr>
        <w:t>misinterpret the statute to require a written ag</w:t>
      </w:r>
      <w:r w:rsidR="00576042">
        <w:rPr>
          <w:szCs w:val="24"/>
        </w:rPr>
        <w:t>reement prior to creation of the</w:t>
      </w:r>
      <w:r w:rsidR="00DD130E" w:rsidRPr="007D11E3">
        <w:rPr>
          <w:szCs w:val="24"/>
        </w:rPr>
        <w:t xml:space="preserve"> work</w:t>
      </w:r>
      <w:r w:rsidR="0012338F" w:rsidRPr="007D11E3">
        <w:rPr>
          <w:szCs w:val="24"/>
        </w:rPr>
        <w:t xml:space="preserve">. Defendants claim that </w:t>
      </w:r>
      <w:r w:rsidR="005B3A33">
        <w:rPr>
          <w:szCs w:val="24"/>
        </w:rPr>
        <w:t xml:space="preserve">absent </w:t>
      </w:r>
      <w:r w:rsidR="00576042">
        <w:rPr>
          <w:szCs w:val="24"/>
        </w:rPr>
        <w:t>a</w:t>
      </w:r>
      <w:r w:rsidR="005B3A33">
        <w:rPr>
          <w:szCs w:val="24"/>
        </w:rPr>
        <w:t xml:space="preserve"> pre-creation</w:t>
      </w:r>
      <w:r w:rsidR="006227E2">
        <w:rPr>
          <w:szCs w:val="24"/>
        </w:rPr>
        <w:t xml:space="preserve"> written agreemen</w:t>
      </w:r>
      <w:r w:rsidR="005B3A33">
        <w:rPr>
          <w:szCs w:val="24"/>
        </w:rPr>
        <w:t>t</w:t>
      </w:r>
      <w:r w:rsidR="00576042">
        <w:rPr>
          <w:szCs w:val="24"/>
        </w:rPr>
        <w:t>,</w:t>
      </w:r>
      <w:r w:rsidR="006227E2">
        <w:rPr>
          <w:szCs w:val="24"/>
        </w:rPr>
        <w:t xml:space="preserve"> Lime</w:t>
      </w:r>
      <w:r w:rsidR="005B3A33">
        <w:rPr>
          <w:szCs w:val="24"/>
        </w:rPr>
        <w:t xml:space="preserve"> was the </w:t>
      </w:r>
      <w:r w:rsidR="00576042">
        <w:rPr>
          <w:szCs w:val="24"/>
        </w:rPr>
        <w:t xml:space="preserve">legal </w:t>
      </w:r>
      <w:r w:rsidR="005B3A33">
        <w:rPr>
          <w:szCs w:val="24"/>
        </w:rPr>
        <w:t>author</w:t>
      </w:r>
      <w:r w:rsidR="00576042">
        <w:rPr>
          <w:szCs w:val="24"/>
        </w:rPr>
        <w:t xml:space="preserve"> of the screenplay</w:t>
      </w:r>
      <w:r w:rsidR="005B3A33">
        <w:rPr>
          <w:szCs w:val="24"/>
        </w:rPr>
        <w:t>,</w:t>
      </w:r>
      <w:r w:rsidR="006227E2">
        <w:rPr>
          <w:szCs w:val="24"/>
        </w:rPr>
        <w:t xml:space="preserve"> </w:t>
      </w:r>
      <w:r w:rsidR="005B3A33">
        <w:rPr>
          <w:szCs w:val="24"/>
        </w:rPr>
        <w:t xml:space="preserve">acquired </w:t>
      </w:r>
      <w:r w:rsidR="0012338F" w:rsidRPr="007D11E3">
        <w:rPr>
          <w:szCs w:val="24"/>
        </w:rPr>
        <w:t xml:space="preserve">initial </w:t>
      </w:r>
      <w:r w:rsidR="00576042">
        <w:rPr>
          <w:szCs w:val="24"/>
        </w:rPr>
        <w:t xml:space="preserve">copyright </w:t>
      </w:r>
      <w:r w:rsidR="006227E2">
        <w:rPr>
          <w:szCs w:val="24"/>
        </w:rPr>
        <w:t>owner</w:t>
      </w:r>
      <w:r w:rsidR="005B3A33">
        <w:rPr>
          <w:szCs w:val="24"/>
        </w:rPr>
        <w:t>ship, and</w:t>
      </w:r>
      <w:r w:rsidR="00576042">
        <w:rPr>
          <w:szCs w:val="24"/>
        </w:rPr>
        <w:t xml:space="preserve"> </w:t>
      </w:r>
      <w:r w:rsidR="005B3A33">
        <w:rPr>
          <w:szCs w:val="24"/>
        </w:rPr>
        <w:t>therefore</w:t>
      </w:r>
      <w:r w:rsidR="00576042">
        <w:rPr>
          <w:szCs w:val="24"/>
        </w:rPr>
        <w:t xml:space="preserve"> retains</w:t>
      </w:r>
      <w:r w:rsidR="006227E2">
        <w:rPr>
          <w:szCs w:val="24"/>
        </w:rPr>
        <w:t xml:space="preserve"> cop</w:t>
      </w:r>
      <w:r w:rsidR="0012338F" w:rsidRPr="007D11E3">
        <w:rPr>
          <w:szCs w:val="24"/>
        </w:rPr>
        <w:t>yright ownership</w:t>
      </w:r>
      <w:r w:rsidR="006227E2">
        <w:rPr>
          <w:szCs w:val="24"/>
        </w:rPr>
        <w:t xml:space="preserve"> </w:t>
      </w:r>
      <w:r w:rsidR="005B3A33">
        <w:rPr>
          <w:szCs w:val="24"/>
        </w:rPr>
        <w:t xml:space="preserve">at </w:t>
      </w:r>
      <w:r w:rsidR="006227E2">
        <w:rPr>
          <w:szCs w:val="24"/>
        </w:rPr>
        <w:t>the time of this action</w:t>
      </w:r>
      <w:r w:rsidR="0012338F" w:rsidRPr="007D11E3">
        <w:rPr>
          <w:szCs w:val="24"/>
        </w:rPr>
        <w:t xml:space="preserve">. </w:t>
      </w:r>
    </w:p>
    <w:p w14:paraId="65372C0B" w14:textId="77777777" w:rsidR="0012338F" w:rsidRPr="007D11E3" w:rsidRDefault="00E40CC4" w:rsidP="00E9367F">
      <w:pPr>
        <w:pStyle w:val="BodyText"/>
        <w:spacing w:line="480" w:lineRule="auto"/>
        <w:ind w:firstLine="720"/>
        <w:rPr>
          <w:szCs w:val="24"/>
        </w:rPr>
      </w:pPr>
      <w:r>
        <w:rPr>
          <w:szCs w:val="24"/>
        </w:rPr>
        <w:t>The D</w:t>
      </w:r>
      <w:r w:rsidR="0012338F" w:rsidRPr="007D11E3">
        <w:rPr>
          <w:szCs w:val="24"/>
        </w:rPr>
        <w:t>efendants’ understanding</w:t>
      </w:r>
      <w:r>
        <w:rPr>
          <w:szCs w:val="24"/>
        </w:rPr>
        <w:t xml:space="preserve"> of the statute goes against its</w:t>
      </w:r>
      <w:r w:rsidR="0012338F" w:rsidRPr="007D11E3">
        <w:rPr>
          <w:szCs w:val="24"/>
        </w:rPr>
        <w:t xml:space="preserve"> plain language, legislative history, and </w:t>
      </w:r>
      <w:r>
        <w:rPr>
          <w:szCs w:val="24"/>
        </w:rPr>
        <w:t xml:space="preserve">related </w:t>
      </w:r>
      <w:r w:rsidR="0012338F" w:rsidRPr="007D11E3">
        <w:rPr>
          <w:szCs w:val="24"/>
        </w:rPr>
        <w:t xml:space="preserve">case law. Further, to grant this motion would be to go against </w:t>
      </w:r>
      <w:r w:rsidR="0035767E">
        <w:rPr>
          <w:szCs w:val="24"/>
        </w:rPr>
        <w:t xml:space="preserve">public policy, </w:t>
      </w:r>
      <w:r w:rsidR="0012338F" w:rsidRPr="007D11E3">
        <w:rPr>
          <w:szCs w:val="24"/>
        </w:rPr>
        <w:t>general concepts of fairness</w:t>
      </w:r>
      <w:r w:rsidR="0035767E">
        <w:rPr>
          <w:szCs w:val="24"/>
        </w:rPr>
        <w:t>,</w:t>
      </w:r>
      <w:r w:rsidR="005B5E30">
        <w:rPr>
          <w:szCs w:val="24"/>
        </w:rPr>
        <w:t xml:space="preserve"> and freedom to contract</w:t>
      </w:r>
      <w:r>
        <w:rPr>
          <w:szCs w:val="24"/>
        </w:rPr>
        <w:t xml:space="preserve">. </w:t>
      </w:r>
      <w:r w:rsidR="00576042">
        <w:rPr>
          <w:szCs w:val="24"/>
        </w:rPr>
        <w:t>In the present case, t</w:t>
      </w:r>
      <w:r>
        <w:rPr>
          <w:szCs w:val="24"/>
        </w:rPr>
        <w:t>he actions of the parties</w:t>
      </w:r>
      <w:r w:rsidR="0012338F" w:rsidRPr="007D11E3">
        <w:rPr>
          <w:szCs w:val="24"/>
        </w:rPr>
        <w:t xml:space="preserve"> exhibit</w:t>
      </w:r>
      <w:r w:rsidR="00576042">
        <w:rPr>
          <w:szCs w:val="24"/>
        </w:rPr>
        <w:t>ed</w:t>
      </w:r>
      <w:r w:rsidR="0012338F" w:rsidRPr="007D11E3">
        <w:rPr>
          <w:szCs w:val="24"/>
        </w:rPr>
        <w:t xml:space="preserve"> a clear intention to solidify a work made for hire arrangement</w:t>
      </w:r>
      <w:r w:rsidR="00576042">
        <w:rPr>
          <w:szCs w:val="24"/>
        </w:rPr>
        <w:t>, and th</w:t>
      </w:r>
      <w:r w:rsidR="006227E2">
        <w:rPr>
          <w:szCs w:val="24"/>
        </w:rPr>
        <w:t>e</w:t>
      </w:r>
      <w:r w:rsidR="0012338F" w:rsidRPr="007D11E3">
        <w:rPr>
          <w:szCs w:val="24"/>
        </w:rPr>
        <w:t xml:space="preserve"> Copyright Act</w:t>
      </w:r>
      <w:r>
        <w:rPr>
          <w:szCs w:val="24"/>
        </w:rPr>
        <w:t xml:space="preserve"> </w:t>
      </w:r>
      <w:r w:rsidR="00576042">
        <w:rPr>
          <w:szCs w:val="24"/>
        </w:rPr>
        <w:t>purports to</w:t>
      </w:r>
      <w:r w:rsidR="0012338F" w:rsidRPr="007D11E3">
        <w:rPr>
          <w:szCs w:val="24"/>
        </w:rPr>
        <w:t xml:space="preserve"> ensure that </w:t>
      </w:r>
      <w:r w:rsidR="00576042">
        <w:rPr>
          <w:szCs w:val="24"/>
        </w:rPr>
        <w:t xml:space="preserve">the original intentions of the parties remain intact and </w:t>
      </w:r>
      <w:r w:rsidR="00576042">
        <w:rPr>
          <w:szCs w:val="24"/>
        </w:rPr>
        <w:lastRenderedPageBreak/>
        <w:t xml:space="preserve">enforceable under federal law. </w:t>
      </w:r>
      <w:r>
        <w:rPr>
          <w:szCs w:val="24"/>
        </w:rPr>
        <w:t>D</w:t>
      </w:r>
      <w:r w:rsidR="0012338F" w:rsidRPr="007D11E3">
        <w:rPr>
          <w:szCs w:val="24"/>
        </w:rPr>
        <w:t xml:space="preserve">efendants seek </w:t>
      </w:r>
      <w:r w:rsidR="006227E2">
        <w:rPr>
          <w:szCs w:val="24"/>
        </w:rPr>
        <w:t>to</w:t>
      </w:r>
      <w:r w:rsidR="005B3A33">
        <w:rPr>
          <w:szCs w:val="24"/>
        </w:rPr>
        <w:t xml:space="preserve"> circumvent these intentions to </w:t>
      </w:r>
      <w:r w:rsidR="00E72288">
        <w:rPr>
          <w:szCs w:val="24"/>
        </w:rPr>
        <w:t>their</w:t>
      </w:r>
      <w:r w:rsidR="005B3A33">
        <w:rPr>
          <w:szCs w:val="24"/>
        </w:rPr>
        <w:t xml:space="preserve"> </w:t>
      </w:r>
      <w:r w:rsidR="0012338F" w:rsidRPr="007D11E3">
        <w:rPr>
          <w:szCs w:val="24"/>
        </w:rPr>
        <w:t xml:space="preserve">benefit by exploiting a </w:t>
      </w:r>
      <w:r w:rsidR="005B5E30">
        <w:rPr>
          <w:szCs w:val="24"/>
        </w:rPr>
        <w:t xml:space="preserve">potential </w:t>
      </w:r>
      <w:r w:rsidR="0012338F" w:rsidRPr="007D11E3">
        <w:rPr>
          <w:szCs w:val="24"/>
        </w:rPr>
        <w:t>technicality that was not intended b</w:t>
      </w:r>
      <w:r w:rsidR="000B2281">
        <w:rPr>
          <w:szCs w:val="24"/>
        </w:rPr>
        <w:t>y the legislature. Defendants’ Motion to D</w:t>
      </w:r>
      <w:r w:rsidR="0012338F" w:rsidRPr="007D11E3">
        <w:rPr>
          <w:szCs w:val="24"/>
        </w:rPr>
        <w:t xml:space="preserve">ismiss should be denied because the </w:t>
      </w:r>
      <w:r w:rsidR="00DD130E" w:rsidRPr="007D11E3">
        <w:rPr>
          <w:szCs w:val="24"/>
        </w:rPr>
        <w:t>P</w:t>
      </w:r>
      <w:r w:rsidR="0012338F" w:rsidRPr="007D11E3">
        <w:rPr>
          <w:szCs w:val="24"/>
        </w:rPr>
        <w:t xml:space="preserve">laintiff has correctly asserted a claim under its rights assigned by the Copyright Act. </w:t>
      </w:r>
    </w:p>
    <w:p w14:paraId="10A199F6" w14:textId="77777777" w:rsidR="0012338F" w:rsidRPr="007D11E3" w:rsidRDefault="0012338F" w:rsidP="00F67E85">
      <w:pPr>
        <w:pStyle w:val="Heading2"/>
        <w:rPr>
          <w:szCs w:val="24"/>
          <w:u w:val="single"/>
        </w:rPr>
      </w:pPr>
      <w:r w:rsidRPr="007D11E3">
        <w:rPr>
          <w:szCs w:val="24"/>
          <w:u w:val="single"/>
        </w:rPr>
        <w:t>FACTUAL BACKGROUND</w:t>
      </w:r>
    </w:p>
    <w:p w14:paraId="229C1E6D" w14:textId="77777777" w:rsidR="0012338F" w:rsidRPr="007D11E3" w:rsidRDefault="0012338F" w:rsidP="00F67E85">
      <w:pPr>
        <w:jc w:val="center"/>
        <w:rPr>
          <w:szCs w:val="24"/>
        </w:rPr>
      </w:pPr>
    </w:p>
    <w:p w14:paraId="5A480DF1" w14:textId="77777777" w:rsidR="0012338F" w:rsidRPr="009B68E5" w:rsidRDefault="0067413C" w:rsidP="007D11E3">
      <w:pPr>
        <w:spacing w:line="480" w:lineRule="auto"/>
        <w:ind w:firstLine="720"/>
        <w:jc w:val="both"/>
        <w:rPr>
          <w:szCs w:val="24"/>
        </w:rPr>
      </w:pPr>
      <w:r>
        <w:rPr>
          <w:szCs w:val="24"/>
        </w:rPr>
        <w:t>At the end of March of</w:t>
      </w:r>
      <w:r w:rsidR="0012338F" w:rsidRPr="007D11E3">
        <w:rPr>
          <w:szCs w:val="24"/>
        </w:rPr>
        <w:t xml:space="preserve"> 2010, David Nelson (“Nelson”), an employee and agent of OGS, commissioned a screenplay from Lime for the </w:t>
      </w:r>
      <w:r w:rsidR="0012338F" w:rsidRPr="007D11E3">
        <w:rPr>
          <w:i/>
          <w:szCs w:val="24"/>
        </w:rPr>
        <w:t>Lawless Love</w:t>
      </w:r>
      <w:r w:rsidR="0012338F" w:rsidRPr="007D11E3">
        <w:rPr>
          <w:szCs w:val="24"/>
        </w:rPr>
        <w:t xml:space="preserve"> television series, of which Nelson is the executive producer. (Compl. ¶ 9-10). During the meeting in which this arrangement was settled upon, Nelson and Lime made an oral agreement that </w:t>
      </w:r>
      <w:r w:rsidR="00DD130E" w:rsidRPr="007D11E3">
        <w:rPr>
          <w:szCs w:val="24"/>
        </w:rPr>
        <w:t>the screenplay</w:t>
      </w:r>
      <w:r w:rsidR="0012338F" w:rsidRPr="007D11E3">
        <w:rPr>
          <w:szCs w:val="24"/>
        </w:rPr>
        <w:t xml:space="preserve"> would be a work made for hire and settled upon a price of $6,000. (</w:t>
      </w:r>
      <w:r w:rsidR="006A3222" w:rsidRPr="007D11E3">
        <w:rPr>
          <w:i/>
          <w:szCs w:val="24"/>
        </w:rPr>
        <w:t>Id</w:t>
      </w:r>
      <w:r w:rsidR="006A3222" w:rsidRPr="007D11E3">
        <w:rPr>
          <w:szCs w:val="24"/>
        </w:rPr>
        <w:t xml:space="preserve">. </w:t>
      </w:r>
      <w:r w:rsidR="0012338F" w:rsidRPr="007D11E3">
        <w:rPr>
          <w:szCs w:val="24"/>
        </w:rPr>
        <w:t>¶ 15-17). Nelson was explicit about not only the category of relationship, but also that the implication of this distinction was that OGS would “for all intents and purposes…be the author.” (</w:t>
      </w:r>
      <w:r w:rsidR="006A3222" w:rsidRPr="007D11E3">
        <w:rPr>
          <w:i/>
          <w:szCs w:val="24"/>
        </w:rPr>
        <w:t>Id</w:t>
      </w:r>
      <w:r w:rsidR="006A3222" w:rsidRPr="007D11E3">
        <w:rPr>
          <w:szCs w:val="24"/>
        </w:rPr>
        <w:t>.</w:t>
      </w:r>
      <w:r w:rsidR="0012338F" w:rsidRPr="007D11E3">
        <w:rPr>
          <w:szCs w:val="24"/>
        </w:rPr>
        <w:t xml:space="preserve"> ¶ 15-16). On April 1, 2010, Lime carried out the agreement by submitting a screenplay entitled “Anticipatory Repudiation.” (</w:t>
      </w:r>
      <w:r w:rsidR="006A3222" w:rsidRPr="007D11E3">
        <w:rPr>
          <w:i/>
          <w:szCs w:val="24"/>
        </w:rPr>
        <w:t>Id</w:t>
      </w:r>
      <w:r w:rsidR="006A3222" w:rsidRPr="007D11E3">
        <w:rPr>
          <w:szCs w:val="24"/>
        </w:rPr>
        <w:t xml:space="preserve">. </w:t>
      </w:r>
      <w:r>
        <w:rPr>
          <w:szCs w:val="24"/>
        </w:rPr>
        <w:t>¶ 21). A</w:t>
      </w:r>
      <w:r w:rsidR="0012338F" w:rsidRPr="007D11E3">
        <w:rPr>
          <w:szCs w:val="24"/>
        </w:rPr>
        <w:t xml:space="preserve"> few days later,</w:t>
      </w:r>
      <w:r>
        <w:rPr>
          <w:szCs w:val="24"/>
        </w:rPr>
        <w:t xml:space="preserve"> and just 10 days after their initial discussions,</w:t>
      </w:r>
      <w:r w:rsidR="0012338F" w:rsidRPr="007D11E3">
        <w:rPr>
          <w:szCs w:val="24"/>
        </w:rPr>
        <w:t xml:space="preserve"> Lime and Nelson both signed a document expressly confirming that the agreement was for the screenplay to be developed as a work made for hire and exchanged the agreed upon payment of $6,000. (</w:t>
      </w:r>
      <w:r w:rsidR="006A3222" w:rsidRPr="007D11E3">
        <w:rPr>
          <w:i/>
          <w:szCs w:val="24"/>
        </w:rPr>
        <w:t>Id</w:t>
      </w:r>
      <w:r w:rsidR="006A3222" w:rsidRPr="007D11E3">
        <w:rPr>
          <w:szCs w:val="24"/>
        </w:rPr>
        <w:t xml:space="preserve">. </w:t>
      </w:r>
      <w:r w:rsidR="0012338F" w:rsidRPr="007D11E3">
        <w:rPr>
          <w:szCs w:val="24"/>
        </w:rPr>
        <w:t xml:space="preserve">¶ 22, 24-25). Subsequent to learning that her screenplay was not used that season on </w:t>
      </w:r>
      <w:r w:rsidR="0012338F" w:rsidRPr="007D11E3">
        <w:rPr>
          <w:i/>
          <w:szCs w:val="24"/>
        </w:rPr>
        <w:t>Lawless Love</w:t>
      </w:r>
      <w:r w:rsidR="0012338F" w:rsidRPr="007D11E3">
        <w:rPr>
          <w:szCs w:val="24"/>
        </w:rPr>
        <w:t xml:space="preserve">, Lime worked in concert with TinyTV to produce, perform, and broadcast a substantially similar screenplay for their newly created television series, </w:t>
      </w:r>
      <w:r w:rsidR="0012338F" w:rsidRPr="007D11E3">
        <w:rPr>
          <w:i/>
          <w:szCs w:val="24"/>
        </w:rPr>
        <w:t xml:space="preserve">The Tin Can. </w:t>
      </w:r>
      <w:r w:rsidR="006A3222" w:rsidRPr="007D11E3">
        <w:rPr>
          <w:szCs w:val="24"/>
        </w:rPr>
        <w:t>(</w:t>
      </w:r>
      <w:r w:rsidR="006A3222" w:rsidRPr="007D11E3">
        <w:rPr>
          <w:i/>
          <w:szCs w:val="24"/>
        </w:rPr>
        <w:t>Id</w:t>
      </w:r>
      <w:r w:rsidR="006A3222" w:rsidRPr="007D11E3">
        <w:rPr>
          <w:szCs w:val="24"/>
        </w:rPr>
        <w:t>.</w:t>
      </w:r>
      <w:r w:rsidR="0012338F" w:rsidRPr="007D11E3">
        <w:rPr>
          <w:szCs w:val="24"/>
        </w:rPr>
        <w:t xml:space="preserve"> ¶ 27-29). The screenplays in question are identical in terms of dialogue, character, and storylines. (</w:t>
      </w:r>
      <w:r w:rsidR="006A3222" w:rsidRPr="007D11E3">
        <w:rPr>
          <w:i/>
          <w:szCs w:val="24"/>
        </w:rPr>
        <w:t>Id</w:t>
      </w:r>
      <w:r w:rsidR="006A3222" w:rsidRPr="007D11E3">
        <w:rPr>
          <w:szCs w:val="24"/>
        </w:rPr>
        <w:t xml:space="preserve">. </w:t>
      </w:r>
      <w:r w:rsidR="0012338F" w:rsidRPr="007D11E3">
        <w:rPr>
          <w:szCs w:val="24"/>
        </w:rPr>
        <w:t>¶ 31). OGS has in its possession a valid certificate of registration from the Register of Copyrights, dated April 2, 2010, for the original version produced under commission by Lime. (</w:t>
      </w:r>
      <w:r w:rsidR="006A3222" w:rsidRPr="007D11E3">
        <w:rPr>
          <w:i/>
          <w:szCs w:val="24"/>
        </w:rPr>
        <w:t>Id</w:t>
      </w:r>
      <w:r w:rsidR="006A3222" w:rsidRPr="007D11E3">
        <w:rPr>
          <w:szCs w:val="24"/>
        </w:rPr>
        <w:t>.</w:t>
      </w:r>
      <w:r w:rsidR="0012338F" w:rsidRPr="007D11E3">
        <w:rPr>
          <w:szCs w:val="24"/>
        </w:rPr>
        <w:t xml:space="preserve"> ¶ 22). Meanwhile, the infringing version has been, and continues to be, broadcasted on TinyTV’s cable network. (</w:t>
      </w:r>
      <w:r w:rsidR="006A3222" w:rsidRPr="007D11E3">
        <w:rPr>
          <w:i/>
          <w:szCs w:val="24"/>
        </w:rPr>
        <w:t>Id</w:t>
      </w:r>
      <w:r w:rsidR="006A3222" w:rsidRPr="007D11E3">
        <w:rPr>
          <w:szCs w:val="24"/>
        </w:rPr>
        <w:t xml:space="preserve">. </w:t>
      </w:r>
      <w:r w:rsidR="0012338F" w:rsidRPr="007D11E3">
        <w:rPr>
          <w:szCs w:val="24"/>
        </w:rPr>
        <w:t xml:space="preserve">¶ </w:t>
      </w:r>
      <w:r w:rsidR="0012338F" w:rsidRPr="007D11E3">
        <w:rPr>
          <w:szCs w:val="24"/>
        </w:rPr>
        <w:lastRenderedPageBreak/>
        <w:t>29,32).</w:t>
      </w:r>
      <w:r w:rsidR="00DD130E" w:rsidRPr="007D11E3">
        <w:rPr>
          <w:szCs w:val="24"/>
        </w:rPr>
        <w:t xml:space="preserve"> Plaintiff </w:t>
      </w:r>
      <w:r w:rsidR="000B2281">
        <w:rPr>
          <w:szCs w:val="24"/>
        </w:rPr>
        <w:t>seeks</w:t>
      </w:r>
      <w:r w:rsidR="00DD130E" w:rsidRPr="007D11E3">
        <w:rPr>
          <w:szCs w:val="24"/>
        </w:rPr>
        <w:t xml:space="preserve"> </w:t>
      </w:r>
      <w:r w:rsidR="00E6256E">
        <w:rPr>
          <w:szCs w:val="24"/>
        </w:rPr>
        <w:t>a tempora</w:t>
      </w:r>
      <w:r w:rsidR="00625D5B">
        <w:rPr>
          <w:szCs w:val="24"/>
        </w:rPr>
        <w:t>ry restraining order to enjoin D</w:t>
      </w:r>
      <w:r w:rsidR="00E6256E">
        <w:rPr>
          <w:szCs w:val="24"/>
        </w:rPr>
        <w:t>efendants from further infringement and requests damages in the sum of $86,000</w:t>
      </w:r>
      <w:r w:rsidR="00625D5B">
        <w:rPr>
          <w:szCs w:val="24"/>
        </w:rPr>
        <w:t xml:space="preserve"> to account for the gains, profits, and advantages derived from the Defendants’ infringement. </w:t>
      </w:r>
      <w:r w:rsidR="009B68E5">
        <w:rPr>
          <w:szCs w:val="24"/>
        </w:rPr>
        <w:t>(</w:t>
      </w:r>
      <w:r w:rsidR="009B68E5">
        <w:rPr>
          <w:i/>
          <w:szCs w:val="24"/>
        </w:rPr>
        <w:t>Id</w:t>
      </w:r>
      <w:r w:rsidR="009B68E5">
        <w:rPr>
          <w:szCs w:val="24"/>
        </w:rPr>
        <w:t xml:space="preserve">. </w:t>
      </w:r>
      <w:r w:rsidR="009B68E5" w:rsidRPr="007D11E3">
        <w:rPr>
          <w:szCs w:val="24"/>
        </w:rPr>
        <w:t>¶</w:t>
      </w:r>
      <w:r w:rsidR="009B68E5">
        <w:rPr>
          <w:szCs w:val="24"/>
        </w:rPr>
        <w:t xml:space="preserve"> 34-35).</w:t>
      </w:r>
    </w:p>
    <w:p w14:paraId="194BC84B" w14:textId="77777777" w:rsidR="0012338F" w:rsidRPr="007D11E3" w:rsidRDefault="0012338F" w:rsidP="00F95255">
      <w:pPr>
        <w:spacing w:line="480" w:lineRule="auto"/>
        <w:jc w:val="center"/>
        <w:rPr>
          <w:b/>
          <w:szCs w:val="24"/>
          <w:u w:val="single"/>
        </w:rPr>
      </w:pPr>
      <w:r w:rsidRPr="007D11E3">
        <w:rPr>
          <w:b/>
          <w:szCs w:val="24"/>
          <w:u w:val="single"/>
        </w:rPr>
        <w:t>ARGUMENT</w:t>
      </w:r>
    </w:p>
    <w:p w14:paraId="0B4FB4C0" w14:textId="77777777" w:rsidR="0012338F" w:rsidRPr="007D11E3" w:rsidRDefault="0012338F" w:rsidP="00F95255">
      <w:pPr>
        <w:pStyle w:val="ListParagraph"/>
        <w:numPr>
          <w:ilvl w:val="0"/>
          <w:numId w:val="1"/>
        </w:numPr>
        <w:tabs>
          <w:tab w:val="left" w:pos="720"/>
        </w:tabs>
        <w:spacing w:line="480" w:lineRule="auto"/>
        <w:ind w:left="720" w:hanging="540"/>
        <w:rPr>
          <w:b/>
          <w:szCs w:val="24"/>
        </w:rPr>
      </w:pPr>
      <w:r w:rsidRPr="007D11E3">
        <w:rPr>
          <w:b/>
          <w:szCs w:val="24"/>
        </w:rPr>
        <w:t>STANDARD OF REVIEW</w:t>
      </w:r>
    </w:p>
    <w:p w14:paraId="0BD5D284" w14:textId="77777777" w:rsidR="009D5649" w:rsidRDefault="00B46FA4" w:rsidP="00B75E81">
      <w:pPr>
        <w:tabs>
          <w:tab w:val="left" w:pos="720"/>
        </w:tabs>
        <w:spacing w:line="480" w:lineRule="auto"/>
      </w:pPr>
      <w:r>
        <w:rPr>
          <w:szCs w:val="24"/>
        </w:rPr>
        <w:tab/>
      </w:r>
      <w:r w:rsidR="00C54DB4">
        <w:rPr>
          <w:szCs w:val="24"/>
        </w:rPr>
        <w:t>A r</w:t>
      </w:r>
      <w:r w:rsidR="0066482B" w:rsidRPr="007D11E3">
        <w:rPr>
          <w:szCs w:val="24"/>
        </w:rPr>
        <w:t xml:space="preserve">ule 12(b)(6) motion to dismiss </w:t>
      </w:r>
      <w:r w:rsidR="00C54DB4">
        <w:rPr>
          <w:szCs w:val="24"/>
        </w:rPr>
        <w:t>allows for removal of</w:t>
      </w:r>
      <w:r w:rsidR="0066482B" w:rsidRPr="007D11E3">
        <w:rPr>
          <w:szCs w:val="24"/>
        </w:rPr>
        <w:t xml:space="preserve"> cases in which the plaintiff, as a matter of law, is not entitled to relief. </w:t>
      </w:r>
      <w:r w:rsidR="00B75E81">
        <w:rPr>
          <w:szCs w:val="24"/>
        </w:rPr>
        <w:t xml:space="preserve">Fed. R. Civ. P. 12(b)(6). </w:t>
      </w:r>
      <w:r w:rsidR="0066482B" w:rsidRPr="007D11E3">
        <w:rPr>
          <w:szCs w:val="24"/>
        </w:rPr>
        <w:t xml:space="preserve">The court must accept all well-pleaded facts as true and view them in the light most favorable to the plaintiff. </w:t>
      </w:r>
      <w:r w:rsidR="009D2436">
        <w:rPr>
          <w:i/>
          <w:iCs/>
          <w:szCs w:val="24"/>
        </w:rPr>
        <w:t>Swierkiewicz v. Sorema N.A.</w:t>
      </w:r>
      <w:r w:rsidR="00C42D7E" w:rsidRPr="009B68E5">
        <w:rPr>
          <w:iCs/>
          <w:szCs w:val="24"/>
        </w:rPr>
        <w:t>,</w:t>
      </w:r>
      <w:r w:rsidR="00C42D7E" w:rsidRPr="007D11E3">
        <w:rPr>
          <w:i/>
          <w:iCs/>
          <w:szCs w:val="24"/>
        </w:rPr>
        <w:t xml:space="preserve"> </w:t>
      </w:r>
      <w:r w:rsidR="009D2436">
        <w:rPr>
          <w:szCs w:val="24"/>
        </w:rPr>
        <w:t>534</w:t>
      </w:r>
      <w:r w:rsidR="00C42D7E" w:rsidRPr="007D11E3">
        <w:rPr>
          <w:szCs w:val="24"/>
        </w:rPr>
        <w:t xml:space="preserve"> U.S. </w:t>
      </w:r>
      <w:r w:rsidR="009D2436">
        <w:rPr>
          <w:szCs w:val="24"/>
        </w:rPr>
        <w:t>506, 509 (2002</w:t>
      </w:r>
      <w:r w:rsidR="00C42D7E" w:rsidRPr="007D11E3">
        <w:rPr>
          <w:szCs w:val="24"/>
        </w:rPr>
        <w:t>).</w:t>
      </w:r>
      <w:r w:rsidR="00E11AB9" w:rsidRPr="007D11E3">
        <w:rPr>
          <w:szCs w:val="24"/>
        </w:rPr>
        <w:t xml:space="preserve"> </w:t>
      </w:r>
      <w:r w:rsidR="00587BB9" w:rsidRPr="007D11E3">
        <w:rPr>
          <w:szCs w:val="24"/>
        </w:rPr>
        <w:t xml:space="preserve">Furthermore, </w:t>
      </w:r>
      <w:r w:rsidR="00C54DB4">
        <w:rPr>
          <w:szCs w:val="24"/>
        </w:rPr>
        <w:t xml:space="preserve">the complaint should not be dismissed “unless it appears beyond doubt that the plaintiff can prove no set of facts in support of his claim which would entitle him to relief.” </w:t>
      </w:r>
      <w:r w:rsidR="009D2436" w:rsidRPr="007D11E3">
        <w:rPr>
          <w:i/>
          <w:iCs/>
          <w:szCs w:val="24"/>
        </w:rPr>
        <w:t>Conley v. Gibson</w:t>
      </w:r>
      <w:r w:rsidR="009D2436" w:rsidRPr="009B68E5">
        <w:rPr>
          <w:iCs/>
          <w:szCs w:val="24"/>
        </w:rPr>
        <w:t>,</w:t>
      </w:r>
      <w:r w:rsidR="009D2436" w:rsidRPr="007D11E3">
        <w:rPr>
          <w:i/>
          <w:iCs/>
          <w:szCs w:val="24"/>
        </w:rPr>
        <w:t xml:space="preserve"> </w:t>
      </w:r>
      <w:r w:rsidR="009D2436" w:rsidRPr="007D11E3">
        <w:rPr>
          <w:szCs w:val="24"/>
        </w:rPr>
        <w:t>355 U.S. 41, 45-46 (1957)</w:t>
      </w:r>
      <w:r w:rsidR="009D2436">
        <w:rPr>
          <w:szCs w:val="24"/>
        </w:rPr>
        <w:t xml:space="preserve">. </w:t>
      </w:r>
      <w:r w:rsidR="009D2436">
        <w:t>The role of the C</w:t>
      </w:r>
      <w:r>
        <w:t>ourt in ruling on such a motion “is merely to assess the legal feasibility of the complaint, not to assay the weight of the evidence which might</w:t>
      </w:r>
      <w:r w:rsidR="000B2281">
        <w:t xml:space="preserve"> be offered in support thereof.</w:t>
      </w:r>
      <w:r>
        <w:t xml:space="preserve">" </w:t>
      </w:r>
      <w:r w:rsidR="009D2436">
        <w:rPr>
          <w:i/>
        </w:rPr>
        <w:t>Geisler v. P</w:t>
      </w:r>
      <w:r w:rsidR="00625D5B" w:rsidRPr="00625D5B">
        <w:rPr>
          <w:i/>
        </w:rPr>
        <w:t>etrocelli</w:t>
      </w:r>
      <w:r w:rsidR="00625D5B" w:rsidRPr="00625D5B">
        <w:t>, 616 F.2d 636, 639 (2</w:t>
      </w:r>
      <w:r w:rsidR="00B82F0F">
        <w:t>n</w:t>
      </w:r>
      <w:r w:rsidR="00625D5B" w:rsidRPr="00625D5B">
        <w:t>d Cir.1980)</w:t>
      </w:r>
      <w:r w:rsidR="00625D5B">
        <w:t>.</w:t>
      </w:r>
      <w:r w:rsidR="006227E2">
        <w:t xml:space="preserve"> </w:t>
      </w:r>
    </w:p>
    <w:p w14:paraId="24F9BE3D" w14:textId="77777777" w:rsidR="00C54DB4" w:rsidRPr="009D5649" w:rsidRDefault="009D5649" w:rsidP="00B75E81">
      <w:pPr>
        <w:tabs>
          <w:tab w:val="left" w:pos="720"/>
        </w:tabs>
        <w:spacing w:line="480" w:lineRule="auto"/>
      </w:pPr>
      <w:r>
        <w:tab/>
      </w:r>
      <w:r w:rsidR="002974DE">
        <w:rPr>
          <w:szCs w:val="24"/>
        </w:rPr>
        <w:t xml:space="preserve">As </w:t>
      </w:r>
      <w:r w:rsidR="000B2281">
        <w:rPr>
          <w:szCs w:val="24"/>
        </w:rPr>
        <w:t>this M</w:t>
      </w:r>
      <w:r w:rsidR="00B46FA4">
        <w:rPr>
          <w:szCs w:val="24"/>
        </w:rPr>
        <w:t xml:space="preserve">emorandum establishes, OGS has plead facts sufficient to establish </w:t>
      </w:r>
      <w:r>
        <w:rPr>
          <w:szCs w:val="24"/>
        </w:rPr>
        <w:t xml:space="preserve">a cognizable claim of </w:t>
      </w:r>
      <w:r w:rsidR="00B46FA4">
        <w:rPr>
          <w:szCs w:val="24"/>
        </w:rPr>
        <w:t xml:space="preserve">copyright infringement </w:t>
      </w:r>
      <w:r>
        <w:rPr>
          <w:szCs w:val="24"/>
        </w:rPr>
        <w:t>under the Copyright Act</w:t>
      </w:r>
      <w:r w:rsidR="00E72288">
        <w:rPr>
          <w:szCs w:val="24"/>
        </w:rPr>
        <w:t xml:space="preserve">, thus establishing the requisite legal feasibility to merit denial of the </w:t>
      </w:r>
      <w:r w:rsidR="000B2281">
        <w:t xml:space="preserve">Defendants’ </w:t>
      </w:r>
      <w:r w:rsidR="00E72288">
        <w:t>Motion to Dismiss.</w:t>
      </w:r>
    </w:p>
    <w:p w14:paraId="1C03EB0D" w14:textId="77777777" w:rsidR="00780D83" w:rsidRPr="007D11E3" w:rsidRDefault="00780D83" w:rsidP="00F95255">
      <w:pPr>
        <w:pStyle w:val="ListParagraph"/>
        <w:numPr>
          <w:ilvl w:val="0"/>
          <w:numId w:val="1"/>
        </w:numPr>
        <w:tabs>
          <w:tab w:val="left" w:pos="720"/>
        </w:tabs>
        <w:spacing w:before="100" w:beforeAutospacing="1" w:after="240"/>
        <w:ind w:left="734" w:hanging="547"/>
        <w:rPr>
          <w:b/>
          <w:szCs w:val="24"/>
        </w:rPr>
      </w:pPr>
      <w:r w:rsidRPr="007D11E3">
        <w:rPr>
          <w:b/>
          <w:szCs w:val="24"/>
        </w:rPr>
        <w:t xml:space="preserve">LIME’S </w:t>
      </w:r>
      <w:r w:rsidR="00AD77C9">
        <w:rPr>
          <w:b/>
          <w:szCs w:val="24"/>
        </w:rPr>
        <w:t>SCREENPLAY IS A VALID</w:t>
      </w:r>
      <w:r w:rsidR="000B2281">
        <w:rPr>
          <w:b/>
          <w:szCs w:val="24"/>
        </w:rPr>
        <w:t xml:space="preserve"> </w:t>
      </w:r>
      <w:r w:rsidR="003D73E0">
        <w:rPr>
          <w:b/>
          <w:szCs w:val="24"/>
        </w:rPr>
        <w:t xml:space="preserve">WORK FOR </w:t>
      </w:r>
      <w:r w:rsidRPr="007D11E3">
        <w:rPr>
          <w:b/>
          <w:szCs w:val="24"/>
        </w:rPr>
        <w:t xml:space="preserve">HIRE </w:t>
      </w:r>
      <w:r w:rsidR="00AD77C9">
        <w:rPr>
          <w:b/>
          <w:szCs w:val="24"/>
        </w:rPr>
        <w:t>UNDER THE COPYRIGHT ACT AND</w:t>
      </w:r>
      <w:r w:rsidRPr="007D11E3">
        <w:rPr>
          <w:b/>
          <w:szCs w:val="24"/>
        </w:rPr>
        <w:t xml:space="preserve"> </w:t>
      </w:r>
      <w:r w:rsidR="000B2281">
        <w:rPr>
          <w:b/>
          <w:szCs w:val="24"/>
        </w:rPr>
        <w:t>OGS</w:t>
      </w:r>
      <w:r w:rsidR="00AD77C9">
        <w:rPr>
          <w:b/>
          <w:szCs w:val="24"/>
        </w:rPr>
        <w:t>, AS COMMISSIONER</w:t>
      </w:r>
      <w:r w:rsidR="003D73E0">
        <w:rPr>
          <w:b/>
          <w:szCs w:val="24"/>
        </w:rPr>
        <w:t>,</w:t>
      </w:r>
      <w:r w:rsidR="000B2281">
        <w:rPr>
          <w:b/>
          <w:szCs w:val="24"/>
        </w:rPr>
        <w:t xml:space="preserve"> IS THE</w:t>
      </w:r>
      <w:r w:rsidRPr="007D11E3">
        <w:rPr>
          <w:b/>
          <w:szCs w:val="24"/>
        </w:rPr>
        <w:t xml:space="preserve"> </w:t>
      </w:r>
      <w:r w:rsidR="003D73E0">
        <w:rPr>
          <w:b/>
          <w:szCs w:val="24"/>
        </w:rPr>
        <w:t xml:space="preserve">AUTHOR AND </w:t>
      </w:r>
      <w:r w:rsidRPr="007D11E3">
        <w:rPr>
          <w:b/>
          <w:szCs w:val="24"/>
        </w:rPr>
        <w:t xml:space="preserve">COPYRIGHT OWNER. </w:t>
      </w:r>
    </w:p>
    <w:p w14:paraId="5D5D10BC" w14:textId="77777777" w:rsidR="00780D83" w:rsidRPr="007D11E3" w:rsidRDefault="0021717B" w:rsidP="0021717B">
      <w:pPr>
        <w:tabs>
          <w:tab w:val="left" w:pos="720"/>
        </w:tabs>
        <w:spacing w:line="480" w:lineRule="auto"/>
        <w:rPr>
          <w:szCs w:val="24"/>
        </w:rPr>
      </w:pPr>
      <w:r>
        <w:rPr>
          <w:szCs w:val="24"/>
        </w:rPr>
        <w:tab/>
      </w:r>
      <w:r w:rsidR="0048393C">
        <w:rPr>
          <w:szCs w:val="24"/>
        </w:rPr>
        <w:t xml:space="preserve">The Copyright Act </w:t>
      </w:r>
      <w:r w:rsidR="002974DE">
        <w:rPr>
          <w:szCs w:val="24"/>
        </w:rPr>
        <w:t>prescribes</w:t>
      </w:r>
      <w:r w:rsidR="00576042">
        <w:rPr>
          <w:szCs w:val="24"/>
        </w:rPr>
        <w:t xml:space="preserve"> both</w:t>
      </w:r>
      <w:r w:rsidR="002974DE">
        <w:rPr>
          <w:szCs w:val="24"/>
        </w:rPr>
        <w:t xml:space="preserve"> authorship and ownership of a work made for hire to</w:t>
      </w:r>
      <w:r w:rsidR="008872A9" w:rsidRPr="007D11E3">
        <w:rPr>
          <w:szCs w:val="24"/>
        </w:rPr>
        <w:t xml:space="preserve"> the employ</w:t>
      </w:r>
      <w:r w:rsidR="002974DE">
        <w:rPr>
          <w:szCs w:val="24"/>
        </w:rPr>
        <w:t xml:space="preserve">er or commissioner of the work, </w:t>
      </w:r>
      <w:r w:rsidR="008872A9" w:rsidRPr="007D11E3">
        <w:rPr>
          <w:szCs w:val="24"/>
        </w:rPr>
        <w:t>barring any express agreement to the co</w:t>
      </w:r>
      <w:r w:rsidR="003D73E0">
        <w:rPr>
          <w:szCs w:val="24"/>
        </w:rPr>
        <w:t xml:space="preserve">ntrary. 17 U.S.C. §201(b) </w:t>
      </w:r>
      <w:r w:rsidR="002316BF">
        <w:rPr>
          <w:szCs w:val="24"/>
        </w:rPr>
        <w:t>(</w:t>
      </w:r>
      <w:r w:rsidR="003D73E0">
        <w:rPr>
          <w:szCs w:val="24"/>
        </w:rPr>
        <w:t>2006</w:t>
      </w:r>
      <w:r w:rsidR="002316BF">
        <w:rPr>
          <w:szCs w:val="24"/>
        </w:rPr>
        <w:t>)</w:t>
      </w:r>
      <w:r w:rsidR="008872A9" w:rsidRPr="007D11E3">
        <w:rPr>
          <w:szCs w:val="24"/>
        </w:rPr>
        <w:t xml:space="preserve">. </w:t>
      </w:r>
      <w:r w:rsidR="00576042">
        <w:rPr>
          <w:szCs w:val="24"/>
        </w:rPr>
        <w:t>As defined in § 101(2)</w:t>
      </w:r>
      <w:r w:rsidR="008872A9" w:rsidRPr="007D11E3">
        <w:rPr>
          <w:szCs w:val="24"/>
        </w:rPr>
        <w:t xml:space="preserve">, </w:t>
      </w:r>
      <w:r w:rsidR="00780D83" w:rsidRPr="007D11E3">
        <w:rPr>
          <w:szCs w:val="24"/>
        </w:rPr>
        <w:t>“</w:t>
      </w:r>
      <w:r w:rsidR="008872A9" w:rsidRPr="007D11E3">
        <w:rPr>
          <w:szCs w:val="24"/>
        </w:rPr>
        <w:t>a</w:t>
      </w:r>
      <w:r w:rsidR="00B62A66">
        <w:rPr>
          <w:szCs w:val="24"/>
        </w:rPr>
        <w:t xml:space="preserve"> work made for hire is…</w:t>
      </w:r>
      <w:r w:rsidR="00780D83" w:rsidRPr="007D11E3">
        <w:rPr>
          <w:szCs w:val="24"/>
        </w:rPr>
        <w:t xml:space="preserve">a work specially ordered or commissioned…as part of a motion picture or other audiovisual work…if the parties </w:t>
      </w:r>
      <w:r w:rsidR="00780D83" w:rsidRPr="007D11E3">
        <w:rPr>
          <w:szCs w:val="24"/>
        </w:rPr>
        <w:lastRenderedPageBreak/>
        <w:t>expressly agree in a written ins</w:t>
      </w:r>
      <w:r w:rsidR="0025568A" w:rsidRPr="007D11E3">
        <w:rPr>
          <w:szCs w:val="24"/>
        </w:rPr>
        <w:t>tru</w:t>
      </w:r>
      <w:r w:rsidR="00780D83" w:rsidRPr="007D11E3">
        <w:rPr>
          <w:szCs w:val="24"/>
        </w:rPr>
        <w:t>ment signed by them that the work shall be considered a work made for hire.”</w:t>
      </w:r>
      <w:r w:rsidR="008872A9" w:rsidRPr="007D11E3">
        <w:rPr>
          <w:szCs w:val="24"/>
        </w:rPr>
        <w:t xml:space="preserve"> </w:t>
      </w:r>
      <w:r w:rsidR="00007820">
        <w:rPr>
          <w:szCs w:val="24"/>
        </w:rPr>
        <w:t xml:space="preserve">Therefore, </w:t>
      </w:r>
      <w:r w:rsidR="00E47B24">
        <w:rPr>
          <w:szCs w:val="24"/>
        </w:rPr>
        <w:t xml:space="preserve">to have a valid work for hire copyright claim </w:t>
      </w:r>
      <w:r w:rsidR="00007820">
        <w:rPr>
          <w:szCs w:val="24"/>
        </w:rPr>
        <w:t>Plaintiff must prove (1) that the screenplay was a specially ordered or commissioned work, (2) that it was part of a motion picture, (3) that there was express, written agreement</w:t>
      </w:r>
      <w:r w:rsidR="009220EF">
        <w:rPr>
          <w:szCs w:val="24"/>
        </w:rPr>
        <w:t>,</w:t>
      </w:r>
      <w:r w:rsidR="00007820">
        <w:rPr>
          <w:szCs w:val="24"/>
        </w:rPr>
        <w:t xml:space="preserve"> and (4) that such instrument was signed by both parties. </w:t>
      </w:r>
      <w:r w:rsidR="006F5D40" w:rsidRPr="00007820">
        <w:rPr>
          <w:szCs w:val="24"/>
        </w:rPr>
        <w:t>The case at hand presents no m</w:t>
      </w:r>
      <w:r w:rsidR="00007820">
        <w:rPr>
          <w:szCs w:val="24"/>
        </w:rPr>
        <w:t>aterial dispute as to the facts; i</w:t>
      </w:r>
      <w:r w:rsidR="006F5D40" w:rsidRPr="00007820">
        <w:rPr>
          <w:szCs w:val="24"/>
        </w:rPr>
        <w:t>t is conceded by both parties that there was a pre-creation oral agreement regarding the status</w:t>
      </w:r>
      <w:r w:rsidR="00007820">
        <w:rPr>
          <w:szCs w:val="24"/>
        </w:rPr>
        <w:t xml:space="preserve"> of the </w:t>
      </w:r>
      <w:r w:rsidR="003D73E0">
        <w:rPr>
          <w:szCs w:val="24"/>
        </w:rPr>
        <w:t xml:space="preserve">commissioned </w:t>
      </w:r>
      <w:r w:rsidR="00007820">
        <w:rPr>
          <w:szCs w:val="24"/>
        </w:rPr>
        <w:t>screenplay</w:t>
      </w:r>
      <w:r w:rsidR="006F5D40" w:rsidRPr="00007820">
        <w:rPr>
          <w:szCs w:val="24"/>
        </w:rPr>
        <w:t xml:space="preserve"> as a work for hire, and a subseque</w:t>
      </w:r>
      <w:r w:rsidR="00007820" w:rsidRPr="00007820">
        <w:rPr>
          <w:szCs w:val="24"/>
        </w:rPr>
        <w:t>nt written agreement</w:t>
      </w:r>
      <w:r w:rsidR="00007820">
        <w:rPr>
          <w:szCs w:val="24"/>
        </w:rPr>
        <w:t xml:space="preserve"> signed by both Lime and </w:t>
      </w:r>
      <w:r w:rsidR="008B0E79">
        <w:rPr>
          <w:szCs w:val="24"/>
        </w:rPr>
        <w:t xml:space="preserve">OGS. This written instrument is sufficient to establish Lime’s screenplay as a work for hire under the Copyright Act. </w:t>
      </w:r>
      <w:r w:rsidR="009220EF">
        <w:rPr>
          <w:szCs w:val="24"/>
        </w:rPr>
        <w:t>Defendants’ Motion should be denied, because</w:t>
      </w:r>
      <w:r w:rsidR="00007820" w:rsidRPr="00007820">
        <w:rPr>
          <w:szCs w:val="24"/>
        </w:rPr>
        <w:t xml:space="preserve"> </w:t>
      </w:r>
      <w:r w:rsidR="008B0E79">
        <w:rPr>
          <w:szCs w:val="24"/>
        </w:rPr>
        <w:t>OGS’s copyright infringement claim</w:t>
      </w:r>
      <w:r w:rsidR="009220EF">
        <w:rPr>
          <w:szCs w:val="24"/>
        </w:rPr>
        <w:t xml:space="preserve"> is both well-plead and legally cognizable</w:t>
      </w:r>
      <w:r w:rsidR="008B0E79">
        <w:rPr>
          <w:szCs w:val="24"/>
        </w:rPr>
        <w:t xml:space="preserve">. </w:t>
      </w:r>
      <w:r w:rsidR="006F5D40" w:rsidRPr="00007820">
        <w:rPr>
          <w:szCs w:val="24"/>
        </w:rPr>
        <w:t xml:space="preserve"> </w:t>
      </w:r>
    </w:p>
    <w:p w14:paraId="5657F348" w14:textId="77777777" w:rsidR="0012338F" w:rsidRPr="007D11E3" w:rsidRDefault="0012338F" w:rsidP="00F95255">
      <w:pPr>
        <w:pStyle w:val="ListParagraph"/>
        <w:numPr>
          <w:ilvl w:val="1"/>
          <w:numId w:val="1"/>
        </w:numPr>
        <w:tabs>
          <w:tab w:val="left" w:pos="720"/>
        </w:tabs>
        <w:spacing w:after="240"/>
        <w:rPr>
          <w:b/>
          <w:szCs w:val="24"/>
        </w:rPr>
      </w:pPr>
      <w:r w:rsidRPr="007D11E3">
        <w:rPr>
          <w:b/>
          <w:szCs w:val="24"/>
        </w:rPr>
        <w:t>The Plain Language and Meaning of the “Written Instrument” Requirement of § 101(2) of the Copyright Act Expressly Grants the Copyright to OGS</w:t>
      </w:r>
      <w:r w:rsidR="00B62A66">
        <w:rPr>
          <w:b/>
          <w:szCs w:val="24"/>
        </w:rPr>
        <w:t>.</w:t>
      </w:r>
    </w:p>
    <w:p w14:paraId="071CFC15" w14:textId="77777777" w:rsidR="008872A9" w:rsidRPr="00D757D8" w:rsidRDefault="008872A9" w:rsidP="00F95255">
      <w:pPr>
        <w:tabs>
          <w:tab w:val="left" w:pos="720"/>
        </w:tabs>
        <w:spacing w:line="480" w:lineRule="auto"/>
        <w:rPr>
          <w:szCs w:val="24"/>
        </w:rPr>
      </w:pPr>
      <w:r w:rsidRPr="007D11E3">
        <w:rPr>
          <w:szCs w:val="24"/>
        </w:rPr>
        <w:tab/>
        <w:t>In interpreting statutory provisions, the proper starting point</w:t>
      </w:r>
      <w:r w:rsidR="00331B49">
        <w:rPr>
          <w:szCs w:val="24"/>
        </w:rPr>
        <w:t>, and often the proper ending point,</w:t>
      </w:r>
      <w:r w:rsidRPr="007D11E3">
        <w:rPr>
          <w:szCs w:val="24"/>
        </w:rPr>
        <w:t xml:space="preserve"> is the plain meaning. If the</w:t>
      </w:r>
      <w:r w:rsidR="0026061C" w:rsidRPr="007D11E3">
        <w:rPr>
          <w:szCs w:val="24"/>
        </w:rPr>
        <w:t xml:space="preserve"> Court determines that </w:t>
      </w:r>
      <w:r w:rsidR="00B75E81">
        <w:rPr>
          <w:szCs w:val="24"/>
        </w:rPr>
        <w:t xml:space="preserve">the statute’s </w:t>
      </w:r>
      <w:r w:rsidRPr="007D11E3">
        <w:rPr>
          <w:szCs w:val="24"/>
        </w:rPr>
        <w:t>meaning is plain</w:t>
      </w:r>
      <w:r w:rsidR="0026061C" w:rsidRPr="007D11E3">
        <w:rPr>
          <w:szCs w:val="24"/>
        </w:rPr>
        <w:t xml:space="preserve"> and clear</w:t>
      </w:r>
      <w:r w:rsidRPr="007D11E3">
        <w:rPr>
          <w:szCs w:val="24"/>
        </w:rPr>
        <w:t xml:space="preserve">, the court should not base its interpretation on any other extrinsic evidence or interpretive method. </w:t>
      </w:r>
      <w:r w:rsidR="003D73E0">
        <w:rPr>
          <w:i/>
          <w:szCs w:val="24"/>
        </w:rPr>
        <w:t xml:space="preserve">See </w:t>
      </w:r>
      <w:r w:rsidRPr="007D11E3">
        <w:rPr>
          <w:i/>
          <w:szCs w:val="24"/>
        </w:rPr>
        <w:t>Greenwood v. U.S.</w:t>
      </w:r>
      <w:r w:rsidRPr="007D11E3">
        <w:rPr>
          <w:szCs w:val="24"/>
        </w:rPr>
        <w:t xml:space="preserve">, 350 U.S. 366, 374 (1956). </w:t>
      </w:r>
      <w:r w:rsidR="00D757D8">
        <w:rPr>
          <w:szCs w:val="24"/>
        </w:rPr>
        <w:t xml:space="preserve">As Justice Scalia has explained, “Judges interpret laws rather than reconstruct legislators’ intentions. Where the language of those laws is clear, we are not free to replace it with an unenacted legislative intent.” </w:t>
      </w:r>
      <w:r w:rsidR="00D757D8">
        <w:rPr>
          <w:i/>
          <w:szCs w:val="24"/>
        </w:rPr>
        <w:t>INS v. Cardoza-Fonseca</w:t>
      </w:r>
      <w:r w:rsidR="00B62A66" w:rsidRPr="003D73E0">
        <w:rPr>
          <w:szCs w:val="24"/>
        </w:rPr>
        <w:t>,</w:t>
      </w:r>
      <w:r w:rsidR="00B62A66">
        <w:rPr>
          <w:szCs w:val="24"/>
        </w:rPr>
        <w:t xml:space="preserve"> 480 U.S. 421, 452-53 (1987)</w:t>
      </w:r>
      <w:r w:rsidR="008B0E79">
        <w:rPr>
          <w:szCs w:val="24"/>
        </w:rPr>
        <w:t xml:space="preserve"> </w:t>
      </w:r>
      <w:r w:rsidR="00B62A66">
        <w:rPr>
          <w:szCs w:val="24"/>
        </w:rPr>
        <w:t>(c</w:t>
      </w:r>
      <w:r w:rsidR="00D757D8">
        <w:rPr>
          <w:szCs w:val="24"/>
        </w:rPr>
        <w:t xml:space="preserve">oncurring). </w:t>
      </w:r>
    </w:p>
    <w:p w14:paraId="7DFF6CD2" w14:textId="77777777" w:rsidR="00331B49" w:rsidRDefault="00AC148F" w:rsidP="00F95255">
      <w:pPr>
        <w:tabs>
          <w:tab w:val="left" w:pos="720"/>
        </w:tabs>
        <w:spacing w:line="480" w:lineRule="auto"/>
        <w:rPr>
          <w:szCs w:val="24"/>
        </w:rPr>
      </w:pPr>
      <w:r w:rsidRPr="007D11E3">
        <w:rPr>
          <w:szCs w:val="24"/>
        </w:rPr>
        <w:tab/>
        <w:t>A typical plain meaning analysis starts with the commonly understood meaning</w:t>
      </w:r>
      <w:r w:rsidR="002974DE">
        <w:rPr>
          <w:szCs w:val="24"/>
        </w:rPr>
        <w:t xml:space="preserve"> of the language in question</w:t>
      </w:r>
      <w:r w:rsidRPr="007D11E3">
        <w:rPr>
          <w:szCs w:val="24"/>
        </w:rPr>
        <w:t xml:space="preserve">. </w:t>
      </w:r>
      <w:r w:rsidRPr="007D11E3">
        <w:rPr>
          <w:i/>
          <w:szCs w:val="24"/>
        </w:rPr>
        <w:t>Caminetti v. United States</w:t>
      </w:r>
      <w:r w:rsidRPr="003D73E0">
        <w:rPr>
          <w:szCs w:val="24"/>
        </w:rPr>
        <w:t>,</w:t>
      </w:r>
      <w:r w:rsidRPr="007D11E3">
        <w:rPr>
          <w:szCs w:val="24"/>
        </w:rPr>
        <w:t xml:space="preserve"> 242 U.S. 470, 485 (1917). </w:t>
      </w:r>
      <w:r w:rsidR="0026061C" w:rsidRPr="007D11E3">
        <w:rPr>
          <w:szCs w:val="24"/>
        </w:rPr>
        <w:t xml:space="preserve">With the provision at hand, </w:t>
      </w:r>
      <w:r w:rsidRPr="007D11E3">
        <w:rPr>
          <w:szCs w:val="24"/>
        </w:rPr>
        <w:t xml:space="preserve">however, </w:t>
      </w:r>
      <w:r w:rsidR="0026061C" w:rsidRPr="007D11E3">
        <w:rPr>
          <w:szCs w:val="24"/>
        </w:rPr>
        <w:t xml:space="preserve">the legislature sought to </w:t>
      </w:r>
      <w:r w:rsidR="00645A7D">
        <w:rPr>
          <w:szCs w:val="24"/>
        </w:rPr>
        <w:t>avoid confusion by crafting a</w:t>
      </w:r>
      <w:r w:rsidR="0012338F" w:rsidRPr="007D11E3">
        <w:rPr>
          <w:szCs w:val="24"/>
        </w:rPr>
        <w:t xml:space="preserve"> definitions section to provide explicit </w:t>
      </w:r>
      <w:r w:rsidR="00645A7D">
        <w:rPr>
          <w:szCs w:val="24"/>
        </w:rPr>
        <w:t>explanation</w:t>
      </w:r>
      <w:r w:rsidR="0012338F" w:rsidRPr="007D11E3">
        <w:rPr>
          <w:szCs w:val="24"/>
        </w:rPr>
        <w:t xml:space="preserve"> of what co</w:t>
      </w:r>
      <w:r w:rsidR="0026061C" w:rsidRPr="007D11E3">
        <w:rPr>
          <w:szCs w:val="24"/>
        </w:rPr>
        <w:t>nstitutes a “work made for hire.</w:t>
      </w:r>
      <w:r w:rsidR="0012338F" w:rsidRPr="007D11E3">
        <w:rPr>
          <w:szCs w:val="24"/>
        </w:rPr>
        <w:t>”</w:t>
      </w:r>
      <w:r w:rsidR="0026061C" w:rsidRPr="007D11E3">
        <w:rPr>
          <w:szCs w:val="24"/>
        </w:rPr>
        <w:t xml:space="preserve"> </w:t>
      </w:r>
      <w:r w:rsidR="002974DE">
        <w:rPr>
          <w:szCs w:val="24"/>
        </w:rPr>
        <w:t xml:space="preserve">There are two broad categories of </w:t>
      </w:r>
      <w:r w:rsidR="0026061C" w:rsidRPr="007D11E3">
        <w:rPr>
          <w:szCs w:val="24"/>
        </w:rPr>
        <w:t>work</w:t>
      </w:r>
      <w:r w:rsidR="002974DE">
        <w:rPr>
          <w:szCs w:val="24"/>
        </w:rPr>
        <w:t>s</w:t>
      </w:r>
      <w:r w:rsidR="0026061C" w:rsidRPr="007D11E3">
        <w:rPr>
          <w:szCs w:val="24"/>
        </w:rPr>
        <w:t xml:space="preserve"> made for hire</w:t>
      </w:r>
      <w:r w:rsidR="002974DE">
        <w:rPr>
          <w:szCs w:val="24"/>
        </w:rPr>
        <w:t xml:space="preserve">, and the </w:t>
      </w:r>
      <w:r w:rsidR="0026061C" w:rsidRPr="007D11E3">
        <w:rPr>
          <w:szCs w:val="24"/>
        </w:rPr>
        <w:t>arrangement between OGS and Lime</w:t>
      </w:r>
      <w:r w:rsidR="002974DE">
        <w:rPr>
          <w:szCs w:val="24"/>
        </w:rPr>
        <w:t xml:space="preserve"> undisputedly</w:t>
      </w:r>
      <w:r w:rsidR="0026061C" w:rsidRPr="007D11E3">
        <w:rPr>
          <w:szCs w:val="24"/>
        </w:rPr>
        <w:t xml:space="preserve"> </w:t>
      </w:r>
      <w:r w:rsidR="0026061C" w:rsidRPr="007D11E3">
        <w:rPr>
          <w:szCs w:val="24"/>
        </w:rPr>
        <w:lastRenderedPageBreak/>
        <w:t xml:space="preserve">falls in the second </w:t>
      </w:r>
      <w:r w:rsidR="0012338F" w:rsidRPr="007D11E3">
        <w:rPr>
          <w:szCs w:val="24"/>
        </w:rPr>
        <w:t>– a work “specially ordered or commissioned</w:t>
      </w:r>
      <w:r w:rsidR="0026061C" w:rsidRPr="007D11E3">
        <w:rPr>
          <w:szCs w:val="24"/>
        </w:rPr>
        <w:t>.</w:t>
      </w:r>
      <w:r w:rsidR="0012338F" w:rsidRPr="007D11E3">
        <w:rPr>
          <w:szCs w:val="24"/>
        </w:rPr>
        <w:t>”</w:t>
      </w:r>
      <w:r w:rsidR="0026061C" w:rsidRPr="007D11E3">
        <w:rPr>
          <w:szCs w:val="24"/>
        </w:rPr>
        <w:t xml:space="preserve"> </w:t>
      </w:r>
      <w:r w:rsidR="009220EF">
        <w:rPr>
          <w:szCs w:val="24"/>
        </w:rPr>
        <w:t>The requirement for this category is simple; the parties must “</w:t>
      </w:r>
      <w:r w:rsidR="009220EF" w:rsidRPr="007D11E3">
        <w:rPr>
          <w:szCs w:val="24"/>
        </w:rPr>
        <w:t>expressly agree in a written instrument signed by them that the work shall be considered a work made for hire.”</w:t>
      </w:r>
      <w:r w:rsidR="009220EF">
        <w:rPr>
          <w:szCs w:val="24"/>
        </w:rPr>
        <w:t xml:space="preserve"> 17 U.S.C. § 101(2). </w:t>
      </w:r>
    </w:p>
    <w:p w14:paraId="4AFEA129" w14:textId="77777777" w:rsidR="0025568A" w:rsidRDefault="00331B49" w:rsidP="00F95255">
      <w:pPr>
        <w:tabs>
          <w:tab w:val="left" w:pos="720"/>
        </w:tabs>
        <w:spacing w:line="480" w:lineRule="auto"/>
        <w:rPr>
          <w:szCs w:val="24"/>
        </w:rPr>
      </w:pPr>
      <w:r>
        <w:rPr>
          <w:szCs w:val="24"/>
        </w:rPr>
        <w:tab/>
      </w:r>
      <w:r w:rsidR="00934F71" w:rsidRPr="00645A7D">
        <w:rPr>
          <w:szCs w:val="24"/>
        </w:rPr>
        <w:t>According to Defendants,</w:t>
      </w:r>
      <w:r w:rsidR="00645A7D" w:rsidRPr="00645A7D">
        <w:rPr>
          <w:szCs w:val="24"/>
        </w:rPr>
        <w:t xml:space="preserve"> the aforementioned </w:t>
      </w:r>
      <w:r w:rsidR="00E47B24">
        <w:rPr>
          <w:szCs w:val="24"/>
        </w:rPr>
        <w:t>statutory language is not as it</w:t>
      </w:r>
      <w:r w:rsidR="00645A7D" w:rsidRPr="00645A7D">
        <w:rPr>
          <w:szCs w:val="24"/>
        </w:rPr>
        <w:t xml:space="preserve"> appear</w:t>
      </w:r>
      <w:r w:rsidR="00E47B24">
        <w:rPr>
          <w:szCs w:val="24"/>
        </w:rPr>
        <w:t>s</w:t>
      </w:r>
      <w:r w:rsidR="00645A7D" w:rsidRPr="00645A7D">
        <w:rPr>
          <w:szCs w:val="24"/>
        </w:rPr>
        <w:t xml:space="preserve">, but instead </w:t>
      </w:r>
      <w:r w:rsidR="00E47B24">
        <w:rPr>
          <w:i/>
          <w:szCs w:val="24"/>
        </w:rPr>
        <w:t>implies</w:t>
      </w:r>
      <w:r w:rsidR="00645A7D" w:rsidRPr="00645A7D">
        <w:rPr>
          <w:szCs w:val="24"/>
        </w:rPr>
        <w:t xml:space="preserve"> that the </w:t>
      </w:r>
      <w:r w:rsidR="0025568A" w:rsidRPr="00645A7D">
        <w:rPr>
          <w:szCs w:val="24"/>
        </w:rPr>
        <w:t xml:space="preserve">“written instrument” </w:t>
      </w:r>
      <w:r w:rsidR="00645A7D" w:rsidRPr="00645A7D">
        <w:rPr>
          <w:szCs w:val="24"/>
        </w:rPr>
        <w:t>be executed prior to c</w:t>
      </w:r>
      <w:r w:rsidR="00E47B24">
        <w:rPr>
          <w:szCs w:val="24"/>
        </w:rPr>
        <w:t xml:space="preserve">ommencement of the work to </w:t>
      </w:r>
      <w:r w:rsidR="00E47B24" w:rsidRPr="00645A7D">
        <w:rPr>
          <w:szCs w:val="24"/>
        </w:rPr>
        <w:t>consummate</w:t>
      </w:r>
      <w:r w:rsidR="0025568A" w:rsidRPr="00645A7D">
        <w:rPr>
          <w:szCs w:val="24"/>
        </w:rPr>
        <w:t xml:space="preserve"> the work for hire relationship. </w:t>
      </w:r>
      <w:r w:rsidR="00934F71" w:rsidRPr="007D11E3">
        <w:rPr>
          <w:szCs w:val="24"/>
        </w:rPr>
        <w:t xml:space="preserve">To construe any requirements beyond those explicitly outlined by Congress is to contradict </w:t>
      </w:r>
      <w:r w:rsidR="00E47B24">
        <w:rPr>
          <w:szCs w:val="24"/>
        </w:rPr>
        <w:t xml:space="preserve">or supplement </w:t>
      </w:r>
      <w:r w:rsidR="00934F71" w:rsidRPr="007D11E3">
        <w:rPr>
          <w:szCs w:val="24"/>
        </w:rPr>
        <w:t xml:space="preserve">the plain meaning of the statute. </w:t>
      </w:r>
      <w:r w:rsidR="003D73E0">
        <w:rPr>
          <w:szCs w:val="24"/>
        </w:rPr>
        <w:t>On</w:t>
      </w:r>
      <w:r w:rsidR="00E47B24">
        <w:rPr>
          <w:szCs w:val="24"/>
        </w:rPr>
        <w:t xml:space="preserve">e must presume a certain </w:t>
      </w:r>
      <w:r w:rsidR="002316BF">
        <w:rPr>
          <w:szCs w:val="24"/>
        </w:rPr>
        <w:t>a</w:t>
      </w:r>
      <w:r w:rsidR="00934F71" w:rsidRPr="007D11E3">
        <w:rPr>
          <w:szCs w:val="24"/>
        </w:rPr>
        <w:t>ttention to detail by the legislature</w:t>
      </w:r>
      <w:r w:rsidR="00E47B24">
        <w:rPr>
          <w:szCs w:val="24"/>
        </w:rPr>
        <w:t>,</w:t>
      </w:r>
      <w:r w:rsidR="00934F71" w:rsidRPr="007D11E3">
        <w:rPr>
          <w:szCs w:val="24"/>
        </w:rPr>
        <w:t xml:space="preserve"> e</w:t>
      </w:r>
      <w:r w:rsidR="0012338F" w:rsidRPr="007D11E3">
        <w:rPr>
          <w:szCs w:val="24"/>
        </w:rPr>
        <w:t xml:space="preserve">specially </w:t>
      </w:r>
      <w:r w:rsidR="00E47B24">
        <w:rPr>
          <w:szCs w:val="24"/>
        </w:rPr>
        <w:t>in a statute such as the Copyright Act</w:t>
      </w:r>
      <w:r w:rsidR="0012338F" w:rsidRPr="007D11E3">
        <w:rPr>
          <w:szCs w:val="24"/>
        </w:rPr>
        <w:t xml:space="preserve"> with such extensive legislative history and revision. </w:t>
      </w:r>
      <w:r w:rsidR="00934F71" w:rsidRPr="007D11E3">
        <w:rPr>
          <w:szCs w:val="24"/>
        </w:rPr>
        <w:t xml:space="preserve">It must, therefore, be inferred that the timing of the written expression was not a material element. </w:t>
      </w:r>
      <w:r w:rsidR="00934F71" w:rsidRPr="007D11E3">
        <w:rPr>
          <w:rFonts w:eastAsia="Calibri"/>
          <w:szCs w:val="24"/>
        </w:rPr>
        <w:t xml:space="preserve"> </w:t>
      </w:r>
      <w:r w:rsidR="0025568A" w:rsidRPr="007D11E3">
        <w:rPr>
          <w:rFonts w:eastAsia="Calibri"/>
          <w:szCs w:val="24"/>
        </w:rPr>
        <w:t>“</w:t>
      </w:r>
      <w:r w:rsidR="00934F71" w:rsidRPr="007D11E3">
        <w:rPr>
          <w:rFonts w:eastAsia="Calibri"/>
          <w:szCs w:val="24"/>
        </w:rPr>
        <w:t>Congress…</w:t>
      </w:r>
      <w:r w:rsidR="0025568A" w:rsidRPr="007D11E3">
        <w:rPr>
          <w:rFonts w:eastAsia="Calibri"/>
          <w:szCs w:val="24"/>
        </w:rPr>
        <w:t>does not alter the fundamental details of a regulatory scheme in vague terms or ancillary provisions — it does not</w:t>
      </w:r>
      <w:r w:rsidR="00934F71" w:rsidRPr="007D11E3">
        <w:rPr>
          <w:rFonts w:eastAsia="Calibri"/>
          <w:szCs w:val="24"/>
        </w:rPr>
        <w:t>…</w:t>
      </w:r>
      <w:r w:rsidR="0025568A" w:rsidRPr="007D11E3">
        <w:rPr>
          <w:rFonts w:eastAsia="Calibri"/>
          <w:szCs w:val="24"/>
        </w:rPr>
        <w:t>hide elephants in mouseholes</w:t>
      </w:r>
      <w:r w:rsidR="0025568A" w:rsidRPr="007D11E3">
        <w:rPr>
          <w:rFonts w:eastAsia="Calibri"/>
          <w:i/>
          <w:szCs w:val="24"/>
        </w:rPr>
        <w:t>.”</w:t>
      </w:r>
      <w:r w:rsidR="00934F71" w:rsidRPr="007D11E3">
        <w:rPr>
          <w:rFonts w:eastAsia="Calibri"/>
          <w:i/>
          <w:szCs w:val="24"/>
        </w:rPr>
        <w:t xml:space="preserve"> </w:t>
      </w:r>
      <w:r w:rsidR="0025568A" w:rsidRPr="007D11E3">
        <w:rPr>
          <w:rFonts w:eastAsia="Calibri"/>
          <w:i/>
          <w:szCs w:val="24"/>
        </w:rPr>
        <w:t>Whitman v. American Trucking Ass’ns, Inc</w:t>
      </w:r>
      <w:r w:rsidR="0025568A" w:rsidRPr="007D11E3">
        <w:rPr>
          <w:rFonts w:eastAsia="Calibri"/>
          <w:szCs w:val="24"/>
        </w:rPr>
        <w:t>., 531 U.S. 457, 468 (2001).</w:t>
      </w:r>
      <w:r w:rsidR="004B0F25">
        <w:rPr>
          <w:szCs w:val="24"/>
        </w:rPr>
        <w:t xml:space="preserve"> Thus, </w:t>
      </w:r>
      <w:r w:rsidR="002B4FB5">
        <w:rPr>
          <w:szCs w:val="24"/>
        </w:rPr>
        <w:t>the statute’s</w:t>
      </w:r>
      <w:r w:rsidR="00934F71" w:rsidRPr="007D11E3">
        <w:rPr>
          <w:szCs w:val="24"/>
        </w:rPr>
        <w:t xml:space="preserve"> silence on a timing requirement </w:t>
      </w:r>
      <w:r w:rsidR="00597F70">
        <w:rPr>
          <w:szCs w:val="24"/>
        </w:rPr>
        <w:t>should</w:t>
      </w:r>
      <w:r w:rsidR="002B4FB5">
        <w:rPr>
          <w:szCs w:val="24"/>
        </w:rPr>
        <w:t xml:space="preserve"> not be interpreted to allow the judiciary to elaborate in Congress’ absence, but instead should be interpreted</w:t>
      </w:r>
      <w:r w:rsidR="009220EF">
        <w:rPr>
          <w:szCs w:val="24"/>
        </w:rPr>
        <w:t>, plainly, as the</w:t>
      </w:r>
      <w:r w:rsidR="002B4FB5">
        <w:rPr>
          <w:szCs w:val="24"/>
        </w:rPr>
        <w:t xml:space="preserve"> </w:t>
      </w:r>
      <w:r w:rsidR="009220EF">
        <w:rPr>
          <w:szCs w:val="24"/>
        </w:rPr>
        <w:t>exclusion of</w:t>
      </w:r>
      <w:r w:rsidR="003D73E0">
        <w:rPr>
          <w:szCs w:val="24"/>
        </w:rPr>
        <w:t xml:space="preserve"> a timing requirement. The plain </w:t>
      </w:r>
      <w:r w:rsidR="00BD1D79">
        <w:rPr>
          <w:szCs w:val="24"/>
        </w:rPr>
        <w:t>meaning</w:t>
      </w:r>
      <w:r w:rsidR="003D73E0">
        <w:rPr>
          <w:szCs w:val="24"/>
        </w:rPr>
        <w:t xml:space="preserve"> of the statute indicates that </w:t>
      </w:r>
      <w:r w:rsidR="002B4FB5">
        <w:rPr>
          <w:szCs w:val="24"/>
        </w:rPr>
        <w:t>any written instrument will</w:t>
      </w:r>
      <w:r w:rsidR="00934F71" w:rsidRPr="007D11E3">
        <w:rPr>
          <w:szCs w:val="24"/>
        </w:rPr>
        <w:t xml:space="preserve"> suffice, whethe</w:t>
      </w:r>
      <w:r w:rsidR="00597F70">
        <w:rPr>
          <w:szCs w:val="24"/>
        </w:rPr>
        <w:t xml:space="preserve">r prior or post creation of the work. </w:t>
      </w:r>
    </w:p>
    <w:p w14:paraId="257978E3" w14:textId="77777777" w:rsidR="00D07D18" w:rsidRPr="007D11E3" w:rsidRDefault="00D07D18" w:rsidP="00F95255">
      <w:pPr>
        <w:tabs>
          <w:tab w:val="left" w:pos="720"/>
        </w:tabs>
        <w:spacing w:line="480" w:lineRule="auto"/>
        <w:rPr>
          <w:szCs w:val="24"/>
        </w:rPr>
      </w:pPr>
      <w:r>
        <w:rPr>
          <w:szCs w:val="24"/>
        </w:rPr>
        <w:tab/>
        <w:t>Defendants rely on the</w:t>
      </w:r>
      <w:r w:rsidR="0016110B">
        <w:rPr>
          <w:szCs w:val="24"/>
        </w:rPr>
        <w:t xml:space="preserve"> dictionary</w:t>
      </w:r>
      <w:r>
        <w:rPr>
          <w:szCs w:val="24"/>
        </w:rPr>
        <w:t xml:space="preserve"> definition of authorship</w:t>
      </w:r>
      <w:r w:rsidR="00CD56B6">
        <w:rPr>
          <w:szCs w:val="24"/>
        </w:rPr>
        <w:t xml:space="preserve"> - </w:t>
      </w:r>
      <w:r w:rsidR="0016110B">
        <w:rPr>
          <w:szCs w:val="24"/>
        </w:rPr>
        <w:t>“</w:t>
      </w:r>
      <w:r w:rsidR="00CD56B6">
        <w:rPr>
          <w:szCs w:val="24"/>
        </w:rPr>
        <w:t>one that originates or creates” -</w:t>
      </w:r>
      <w:r>
        <w:rPr>
          <w:szCs w:val="24"/>
        </w:rPr>
        <w:t xml:space="preserve"> to conclude that it is “necessarily fixed at creation” and therefore requires pre-creation agreement.</w:t>
      </w:r>
      <w:r w:rsidR="0016110B">
        <w:rPr>
          <w:szCs w:val="24"/>
        </w:rPr>
        <w:t xml:space="preserve"> </w:t>
      </w:r>
      <w:r w:rsidR="00B654BA">
        <w:rPr>
          <w:szCs w:val="24"/>
        </w:rPr>
        <w:t>(Def’s Mem. Supp. Mot.</w:t>
      </w:r>
      <w:r w:rsidR="001C3919">
        <w:rPr>
          <w:szCs w:val="24"/>
        </w:rPr>
        <w:t xml:space="preserve"> </w:t>
      </w:r>
      <w:r w:rsidR="00B654BA">
        <w:rPr>
          <w:szCs w:val="24"/>
        </w:rPr>
        <w:t>Dismiss, 7)</w:t>
      </w:r>
      <w:r w:rsidR="00597F70">
        <w:rPr>
          <w:szCs w:val="24"/>
        </w:rPr>
        <w:t xml:space="preserve"> </w:t>
      </w:r>
      <w:r w:rsidR="00B654BA">
        <w:rPr>
          <w:szCs w:val="24"/>
        </w:rPr>
        <w:t xml:space="preserve">(citing </w:t>
      </w:r>
      <w:r w:rsidR="001C3919">
        <w:t xml:space="preserve">"author." </w:t>
      </w:r>
      <w:r w:rsidR="001C3919" w:rsidRPr="001C3919">
        <w:rPr>
          <w:i/>
        </w:rPr>
        <w:t>Merriam-Webster Online Dictionary</w:t>
      </w:r>
      <w:r w:rsidR="001C3919">
        <w:t>. 2012. http://www.merriam-webster.com (20 Mar. 2012)</w:t>
      </w:r>
      <w:r w:rsidR="00B654BA">
        <w:t>.</w:t>
      </w:r>
      <w:r w:rsidR="006E7C84">
        <w:rPr>
          <w:color w:val="FF0000"/>
          <w:szCs w:val="24"/>
        </w:rPr>
        <w:t xml:space="preserve"> </w:t>
      </w:r>
      <w:r>
        <w:rPr>
          <w:szCs w:val="24"/>
        </w:rPr>
        <w:t xml:space="preserve">This </w:t>
      </w:r>
      <w:r w:rsidR="006E7C84">
        <w:rPr>
          <w:szCs w:val="24"/>
        </w:rPr>
        <w:t xml:space="preserve">analysis </w:t>
      </w:r>
      <w:r>
        <w:rPr>
          <w:szCs w:val="24"/>
        </w:rPr>
        <w:t xml:space="preserve">is flawed for two reasons. First, </w:t>
      </w:r>
      <w:r w:rsidR="0016110B">
        <w:rPr>
          <w:szCs w:val="24"/>
        </w:rPr>
        <w:t xml:space="preserve">reliance upon traditional dictionary definitions is inapplicable </w:t>
      </w:r>
      <w:r w:rsidR="004A65E8">
        <w:rPr>
          <w:szCs w:val="24"/>
        </w:rPr>
        <w:t xml:space="preserve">in a situation where the words have specialized, legal meaning. </w:t>
      </w:r>
      <w:r w:rsidR="008921C9">
        <w:rPr>
          <w:szCs w:val="24"/>
        </w:rPr>
        <w:t xml:space="preserve">If a statute contains a legal term, its technical legal meaning is presumed to apply. </w:t>
      </w:r>
      <w:r w:rsidR="008921C9">
        <w:rPr>
          <w:i/>
          <w:szCs w:val="24"/>
        </w:rPr>
        <w:t xml:space="preserve">See Bradley v. United </w:t>
      </w:r>
      <w:r w:rsidR="008921C9" w:rsidRPr="008921C9">
        <w:rPr>
          <w:i/>
          <w:szCs w:val="24"/>
        </w:rPr>
        <w:t>States,</w:t>
      </w:r>
      <w:r w:rsidR="00B654BA">
        <w:rPr>
          <w:szCs w:val="24"/>
        </w:rPr>
        <w:t xml:space="preserve"> 410 U.S. 605, 688 (1973) </w:t>
      </w:r>
      <w:r w:rsidR="00CA48AE">
        <w:rPr>
          <w:szCs w:val="24"/>
        </w:rPr>
        <w:lastRenderedPageBreak/>
        <w:t>(</w:t>
      </w:r>
      <w:r w:rsidR="00B654BA">
        <w:rPr>
          <w:szCs w:val="24"/>
        </w:rPr>
        <w:t>meaning of</w:t>
      </w:r>
      <w:r w:rsidR="00CA48AE">
        <w:rPr>
          <w:szCs w:val="24"/>
        </w:rPr>
        <w:t xml:space="preserve"> “prosecution” in a criminal statute is to be understood using it</w:t>
      </w:r>
      <w:r w:rsidR="00B654BA">
        <w:rPr>
          <w:szCs w:val="24"/>
        </w:rPr>
        <w:t xml:space="preserve">s legal, </w:t>
      </w:r>
      <w:r w:rsidR="00CA48AE">
        <w:rPr>
          <w:szCs w:val="24"/>
        </w:rPr>
        <w:t xml:space="preserve">not </w:t>
      </w:r>
      <w:r w:rsidR="00B654BA">
        <w:rPr>
          <w:szCs w:val="24"/>
        </w:rPr>
        <w:t>ordinary</w:t>
      </w:r>
      <w:r w:rsidR="00CA48AE">
        <w:rPr>
          <w:szCs w:val="24"/>
        </w:rPr>
        <w:t xml:space="preserve"> meaning). </w:t>
      </w:r>
      <w:r w:rsidR="004A65E8" w:rsidRPr="008921C9">
        <w:rPr>
          <w:szCs w:val="24"/>
        </w:rPr>
        <w:t>T</w:t>
      </w:r>
      <w:r w:rsidR="006E7C84" w:rsidRPr="008921C9">
        <w:rPr>
          <w:szCs w:val="24"/>
        </w:rPr>
        <w:t>he</w:t>
      </w:r>
      <w:r w:rsidR="006E7C84">
        <w:rPr>
          <w:szCs w:val="24"/>
        </w:rPr>
        <w:t xml:space="preserve"> Copyright Act inherently modifies</w:t>
      </w:r>
      <w:r>
        <w:rPr>
          <w:szCs w:val="24"/>
        </w:rPr>
        <w:t xml:space="preserve"> the </w:t>
      </w:r>
      <w:r w:rsidR="00EB7300">
        <w:rPr>
          <w:szCs w:val="24"/>
        </w:rPr>
        <w:t>conventional conceptions of words like</w:t>
      </w:r>
      <w:r>
        <w:rPr>
          <w:szCs w:val="24"/>
        </w:rPr>
        <w:t xml:space="preserve"> owner, originator, and creator, in orde</w:t>
      </w:r>
      <w:r w:rsidR="00EB7300">
        <w:rPr>
          <w:szCs w:val="24"/>
        </w:rPr>
        <w:t xml:space="preserve">r to provide a </w:t>
      </w:r>
      <w:r>
        <w:rPr>
          <w:szCs w:val="24"/>
        </w:rPr>
        <w:t>comprehensive legal framework</w:t>
      </w:r>
      <w:r w:rsidR="00EB7300">
        <w:rPr>
          <w:szCs w:val="24"/>
        </w:rPr>
        <w:t xml:space="preserve"> to support the Act’s underlying goals</w:t>
      </w:r>
      <w:r>
        <w:rPr>
          <w:szCs w:val="24"/>
        </w:rPr>
        <w:t xml:space="preserve">. </w:t>
      </w:r>
      <w:r w:rsidR="004A65E8">
        <w:t xml:space="preserve">Black's Law Dictionary </w:t>
      </w:r>
      <w:r w:rsidR="00EB7300">
        <w:t>provides a more appropriate source for defining author: “</w:t>
      </w:r>
      <w:r w:rsidR="004A65E8">
        <w:t xml:space="preserve">The person who creates an expressive work, </w:t>
      </w:r>
      <w:r w:rsidR="004A65E8" w:rsidRPr="004A65E8">
        <w:rPr>
          <w:i/>
        </w:rPr>
        <w:t>or the person or business that hires another to create an expressive work</w:t>
      </w:r>
      <w:r w:rsidR="004A65E8">
        <w:t>.</w:t>
      </w:r>
      <w:r w:rsidR="00EB7300">
        <w:t>”</w:t>
      </w:r>
      <w:r w:rsidR="004A65E8">
        <w:t xml:space="preserve"> </w:t>
      </w:r>
      <w:r w:rsidR="00EB7300">
        <w:t xml:space="preserve">(9th ed. 2009) </w:t>
      </w:r>
      <w:r w:rsidR="004A65E8">
        <w:t xml:space="preserve">(emphasis added). </w:t>
      </w:r>
      <w:r w:rsidR="004A65E8">
        <w:rPr>
          <w:szCs w:val="24"/>
        </w:rPr>
        <w:t>Alternatively</w:t>
      </w:r>
      <w:r>
        <w:rPr>
          <w:szCs w:val="24"/>
        </w:rPr>
        <w:t xml:space="preserve">, even if one relies on the </w:t>
      </w:r>
      <w:r w:rsidR="004A65E8">
        <w:rPr>
          <w:szCs w:val="24"/>
        </w:rPr>
        <w:t xml:space="preserve">Webster’s </w:t>
      </w:r>
      <w:r>
        <w:rPr>
          <w:szCs w:val="24"/>
        </w:rPr>
        <w:t xml:space="preserve">definition, there is a valid argument to be made that </w:t>
      </w:r>
      <w:r w:rsidR="0016110B">
        <w:rPr>
          <w:szCs w:val="24"/>
        </w:rPr>
        <w:t xml:space="preserve">OGS in fact “originated” the screenplay by commissioning the work from Lime. </w:t>
      </w:r>
    </w:p>
    <w:p w14:paraId="401F71E2" w14:textId="77777777" w:rsidR="004B0F25" w:rsidRDefault="00AC148F" w:rsidP="00F95255">
      <w:pPr>
        <w:tabs>
          <w:tab w:val="left" w:pos="720"/>
        </w:tabs>
        <w:spacing w:line="480" w:lineRule="auto"/>
        <w:rPr>
          <w:szCs w:val="24"/>
        </w:rPr>
      </w:pPr>
      <w:r w:rsidRPr="007D11E3">
        <w:rPr>
          <w:szCs w:val="24"/>
        </w:rPr>
        <w:tab/>
        <w:t xml:space="preserve">Further, the alternate reading proposed by Defendants would result in opportunities for uncertainty and </w:t>
      </w:r>
      <w:r w:rsidR="007969E8">
        <w:rPr>
          <w:szCs w:val="24"/>
        </w:rPr>
        <w:t xml:space="preserve">legal </w:t>
      </w:r>
      <w:r w:rsidRPr="007D11E3">
        <w:rPr>
          <w:szCs w:val="24"/>
        </w:rPr>
        <w:t xml:space="preserve">manipulation in relationships </w:t>
      </w:r>
      <w:r w:rsidR="007969E8">
        <w:rPr>
          <w:szCs w:val="24"/>
        </w:rPr>
        <w:t xml:space="preserve">where the product was </w:t>
      </w:r>
      <w:r w:rsidRPr="007D11E3">
        <w:rPr>
          <w:szCs w:val="24"/>
        </w:rPr>
        <w:t xml:space="preserve">intended by both parties to be a work </w:t>
      </w:r>
      <w:r w:rsidR="007969E8">
        <w:rPr>
          <w:szCs w:val="24"/>
        </w:rPr>
        <w:t xml:space="preserve">made </w:t>
      </w:r>
      <w:r w:rsidRPr="007D11E3">
        <w:rPr>
          <w:szCs w:val="24"/>
        </w:rPr>
        <w:t xml:space="preserve">for hire, </w:t>
      </w:r>
      <w:r w:rsidR="00E57718">
        <w:rPr>
          <w:szCs w:val="24"/>
        </w:rPr>
        <w:t xml:space="preserve">rendering </w:t>
      </w:r>
      <w:r w:rsidRPr="007D11E3">
        <w:rPr>
          <w:szCs w:val="24"/>
        </w:rPr>
        <w:t>an absurd result</w:t>
      </w:r>
      <w:r w:rsidR="004B0F25">
        <w:rPr>
          <w:szCs w:val="24"/>
        </w:rPr>
        <w:t>:</w:t>
      </w:r>
      <w:r w:rsidRPr="007D11E3">
        <w:rPr>
          <w:szCs w:val="24"/>
        </w:rPr>
        <w:t xml:space="preserve"> </w:t>
      </w:r>
    </w:p>
    <w:p w14:paraId="1160C7A4" w14:textId="77777777" w:rsidR="004B0F25" w:rsidRDefault="0012338F" w:rsidP="004B0F25">
      <w:pPr>
        <w:tabs>
          <w:tab w:val="left" w:pos="720"/>
        </w:tabs>
        <w:ind w:left="720"/>
        <w:rPr>
          <w:szCs w:val="24"/>
        </w:rPr>
      </w:pPr>
      <w:r w:rsidRPr="007D11E3">
        <w:rPr>
          <w:szCs w:val="24"/>
        </w:rPr>
        <w:t>One can imagine claims involving parties each of whom knew of the unanimous intent among all concern</w:t>
      </w:r>
      <w:r w:rsidR="00FA7606">
        <w:rPr>
          <w:szCs w:val="24"/>
        </w:rPr>
        <w:t>ed</w:t>
      </w:r>
      <w:r w:rsidRPr="007D11E3">
        <w:rPr>
          <w:szCs w:val="24"/>
        </w:rPr>
        <w:t xml:space="preserve"> that the work for hire doctrine would apply, notwithstanding that some of the paperwork remained not fully executed until after creation of the subject work. In that circumstance, the bright line rule could frustrate the intent of the parties, and cloud rather th</w:t>
      </w:r>
      <w:r w:rsidR="004B0F25">
        <w:rPr>
          <w:szCs w:val="24"/>
        </w:rPr>
        <w:t>an serve the goal of certainty.</w:t>
      </w:r>
      <w:r w:rsidRPr="007D11E3">
        <w:rPr>
          <w:szCs w:val="24"/>
        </w:rPr>
        <w:t xml:space="preserve"> </w:t>
      </w:r>
    </w:p>
    <w:p w14:paraId="48D79E91" w14:textId="77777777" w:rsidR="004B0F25" w:rsidRDefault="004B0F25" w:rsidP="004B0F25">
      <w:pPr>
        <w:tabs>
          <w:tab w:val="left" w:pos="720"/>
        </w:tabs>
        <w:ind w:left="720"/>
        <w:rPr>
          <w:szCs w:val="24"/>
        </w:rPr>
      </w:pPr>
    </w:p>
    <w:p w14:paraId="12EAFF2A" w14:textId="77777777" w:rsidR="004B0F25" w:rsidRPr="00D07D18" w:rsidRDefault="003C50D2" w:rsidP="00E57718">
      <w:pPr>
        <w:tabs>
          <w:tab w:val="left" w:pos="720"/>
        </w:tabs>
        <w:spacing w:line="480" w:lineRule="auto"/>
        <w:rPr>
          <w:b/>
          <w:szCs w:val="24"/>
        </w:rPr>
      </w:pPr>
      <w:r>
        <w:rPr>
          <w:szCs w:val="24"/>
        </w:rPr>
        <w:t>M. Nimmer &amp; D. Nimmer, Nimmer on Copyright</w:t>
      </w:r>
      <w:r w:rsidR="0012338F" w:rsidRPr="007D11E3">
        <w:rPr>
          <w:i/>
          <w:szCs w:val="24"/>
        </w:rPr>
        <w:t xml:space="preserve"> </w:t>
      </w:r>
      <w:r w:rsidR="0012338F" w:rsidRPr="007D11E3">
        <w:rPr>
          <w:szCs w:val="24"/>
        </w:rPr>
        <w:t>§ 5</w:t>
      </w:r>
      <w:r>
        <w:rPr>
          <w:szCs w:val="24"/>
        </w:rPr>
        <w:t>.</w:t>
      </w:r>
      <w:r w:rsidR="0012338F" w:rsidRPr="007D11E3">
        <w:rPr>
          <w:szCs w:val="24"/>
        </w:rPr>
        <w:t>03[B][2][b]</w:t>
      </w:r>
      <w:r w:rsidR="007969E8">
        <w:rPr>
          <w:szCs w:val="24"/>
        </w:rPr>
        <w:t xml:space="preserve">, at 127 </w:t>
      </w:r>
      <w:r w:rsidR="002A77B9">
        <w:rPr>
          <w:szCs w:val="24"/>
        </w:rPr>
        <w:t>(rev. ed. 2011</w:t>
      </w:r>
      <w:r w:rsidR="0012338F" w:rsidRPr="007D11E3">
        <w:rPr>
          <w:szCs w:val="24"/>
        </w:rPr>
        <w:t xml:space="preserve">). </w:t>
      </w:r>
      <w:r w:rsidR="004B0F25">
        <w:rPr>
          <w:szCs w:val="24"/>
        </w:rPr>
        <w:t xml:space="preserve"> </w:t>
      </w:r>
    </w:p>
    <w:p w14:paraId="5C4BA39B" w14:textId="77777777" w:rsidR="00AA624C" w:rsidRPr="008B0E79" w:rsidRDefault="004B0F25" w:rsidP="008B0E79">
      <w:pPr>
        <w:tabs>
          <w:tab w:val="left" w:pos="720"/>
        </w:tabs>
        <w:spacing w:line="480" w:lineRule="auto"/>
        <w:rPr>
          <w:szCs w:val="24"/>
        </w:rPr>
      </w:pPr>
      <w:r>
        <w:rPr>
          <w:b/>
          <w:szCs w:val="24"/>
        </w:rPr>
        <w:tab/>
      </w:r>
      <w:r w:rsidR="002B4FB5">
        <w:rPr>
          <w:szCs w:val="24"/>
        </w:rPr>
        <w:t>The statutory language of the §</w:t>
      </w:r>
      <w:r w:rsidR="00FA7606">
        <w:rPr>
          <w:szCs w:val="24"/>
        </w:rPr>
        <w:t xml:space="preserve"> </w:t>
      </w:r>
      <w:r w:rsidR="002B4FB5">
        <w:rPr>
          <w:szCs w:val="24"/>
        </w:rPr>
        <w:t>101</w:t>
      </w:r>
      <w:r w:rsidR="003E6E2B">
        <w:rPr>
          <w:szCs w:val="24"/>
        </w:rPr>
        <w:t>(2)</w:t>
      </w:r>
      <w:r w:rsidR="002B4FB5">
        <w:rPr>
          <w:szCs w:val="24"/>
        </w:rPr>
        <w:t xml:space="preserve"> is clear and unambiguous, and therefore its plain meaning should be adhered to by the Court. Plaintiff’s complaint alleges sufficient information regarding a written agreement between the parties to meet the plain meaning of the “written instrument” requirement. Therefore, Defendant’s Motion to Dismiss should be denied. </w:t>
      </w:r>
    </w:p>
    <w:p w14:paraId="5CD057BC" w14:textId="77777777" w:rsidR="0012338F" w:rsidRDefault="00AD77C9" w:rsidP="00794728">
      <w:pPr>
        <w:pStyle w:val="ListParagraph"/>
        <w:numPr>
          <w:ilvl w:val="1"/>
          <w:numId w:val="1"/>
        </w:numPr>
        <w:tabs>
          <w:tab w:val="left" w:pos="720"/>
        </w:tabs>
        <w:spacing w:after="240"/>
        <w:ind w:left="1166"/>
        <w:rPr>
          <w:b/>
        </w:rPr>
      </w:pPr>
      <w:r>
        <w:rPr>
          <w:b/>
        </w:rPr>
        <w:t xml:space="preserve">The </w:t>
      </w:r>
      <w:r w:rsidR="0012338F">
        <w:rPr>
          <w:b/>
        </w:rPr>
        <w:t xml:space="preserve">Legislative History </w:t>
      </w:r>
      <w:r>
        <w:rPr>
          <w:b/>
        </w:rPr>
        <w:t xml:space="preserve">Provides Added Support For Following the Plain Meaning of the Statute. </w:t>
      </w:r>
    </w:p>
    <w:p w14:paraId="3FC2ACC0" w14:textId="77777777" w:rsidR="0058597C" w:rsidRDefault="008A2031" w:rsidP="009C750C">
      <w:pPr>
        <w:tabs>
          <w:tab w:val="left" w:pos="720"/>
        </w:tabs>
        <w:spacing w:line="480" w:lineRule="auto"/>
      </w:pPr>
      <w:r>
        <w:tab/>
      </w:r>
      <w:r w:rsidR="002E1F08">
        <w:t>If</w:t>
      </w:r>
      <w:r w:rsidR="00D757D8">
        <w:t xml:space="preserve"> the Court determines that the language of § 101</w:t>
      </w:r>
      <w:r w:rsidR="003E6E2B">
        <w:t>(2)</w:t>
      </w:r>
      <w:r w:rsidR="00D757D8">
        <w:t xml:space="preserve"> is </w:t>
      </w:r>
      <w:r w:rsidR="00975EDF">
        <w:t xml:space="preserve">unclear or </w:t>
      </w:r>
      <w:r w:rsidR="004B0F25">
        <w:t>ambiguous, it may</w:t>
      </w:r>
      <w:r w:rsidR="00FD07EA">
        <w:t xml:space="preserve"> “have recourse to the legislative history of the measure and the statements by those in charge of it during its consideration by the Congress.” </w:t>
      </w:r>
      <w:r w:rsidR="00FD07EA">
        <w:rPr>
          <w:i/>
        </w:rPr>
        <w:t>United States v. Great Northern Ry.</w:t>
      </w:r>
      <w:r w:rsidR="00FD07EA">
        <w:t xml:space="preserve">, 287 U.S. 144 </w:t>
      </w:r>
      <w:r w:rsidR="00FD07EA">
        <w:lastRenderedPageBreak/>
        <w:t xml:space="preserve">(1932). Looking to the “specific history of the legislative process that culminated in the [statute at issue] affords…solid ground for giving it appropriate meaning.” </w:t>
      </w:r>
      <w:r w:rsidR="00FD07EA">
        <w:rPr>
          <w:i/>
        </w:rPr>
        <w:t>Unites States v. Universal C.I.T. Credit Corp.</w:t>
      </w:r>
      <w:r w:rsidR="00FD07EA">
        <w:t xml:space="preserve">, 344 U.S. 218, 222 (1952). </w:t>
      </w:r>
    </w:p>
    <w:p w14:paraId="2A6A1958" w14:textId="77777777" w:rsidR="00441466" w:rsidRDefault="00441466" w:rsidP="00D81F97">
      <w:pPr>
        <w:pStyle w:val="ListParagraph"/>
        <w:numPr>
          <w:ilvl w:val="4"/>
          <w:numId w:val="1"/>
        </w:numPr>
        <w:tabs>
          <w:tab w:val="left" w:pos="720"/>
          <w:tab w:val="left" w:pos="1710"/>
        </w:tabs>
        <w:spacing w:after="240"/>
        <w:ind w:hanging="364"/>
      </w:pPr>
      <w:r>
        <w:rPr>
          <w:u w:val="single"/>
        </w:rPr>
        <w:t xml:space="preserve">The Legislative History of the Copyright Act Does Not Provide a Clear Intent by the Legislature to </w:t>
      </w:r>
      <w:r w:rsidR="00FA7606">
        <w:rPr>
          <w:u w:val="single"/>
        </w:rPr>
        <w:t>Merit Overriding</w:t>
      </w:r>
      <w:r>
        <w:rPr>
          <w:u w:val="single"/>
        </w:rPr>
        <w:t xml:space="preserve"> the Plain Meaning.</w:t>
      </w:r>
    </w:p>
    <w:p w14:paraId="435B0568" w14:textId="77777777" w:rsidR="002F74A1" w:rsidRDefault="0058597C" w:rsidP="009C750C">
      <w:pPr>
        <w:tabs>
          <w:tab w:val="left" w:pos="720"/>
        </w:tabs>
        <w:spacing w:line="480" w:lineRule="auto"/>
      </w:pPr>
      <w:r>
        <w:tab/>
      </w:r>
      <w:r w:rsidR="004467BB">
        <w:t xml:space="preserve">The legislative history of the </w:t>
      </w:r>
      <w:r>
        <w:t xml:space="preserve">Copyright </w:t>
      </w:r>
      <w:r w:rsidR="004467BB">
        <w:t>Act</w:t>
      </w:r>
      <w:r>
        <w:t xml:space="preserve"> does not provide the “solid ground” the Court would seek </w:t>
      </w:r>
      <w:r w:rsidR="00C477AB">
        <w:t xml:space="preserve">in order to resolve </w:t>
      </w:r>
      <w:r>
        <w:t>ambiguity it may find, for the history</w:t>
      </w:r>
      <w:r w:rsidR="00E628F3">
        <w:t xml:space="preserve"> itself </w:t>
      </w:r>
      <w:r>
        <w:t xml:space="preserve">is </w:t>
      </w:r>
      <w:r w:rsidR="00E628F3">
        <w:t>ambiguous and clou</w:t>
      </w:r>
      <w:r w:rsidR="002316BF">
        <w:t>ded by</w:t>
      </w:r>
      <w:r w:rsidR="00E628F3">
        <w:t xml:space="preserve"> the </w:t>
      </w:r>
      <w:r w:rsidR="002316BF">
        <w:t xml:space="preserve">competing </w:t>
      </w:r>
      <w:r w:rsidR="00E628F3">
        <w:t xml:space="preserve">viewpoints of special interest groups. </w:t>
      </w:r>
      <w:r w:rsidR="00E628F3">
        <w:rPr>
          <w:i/>
        </w:rPr>
        <w:t xml:space="preserve">See </w:t>
      </w:r>
      <w:r w:rsidR="00E628F3">
        <w:t xml:space="preserve">Jessica D. Litman, </w:t>
      </w:r>
      <w:r w:rsidR="00E628F3" w:rsidRPr="00331B49">
        <w:rPr>
          <w:i/>
        </w:rPr>
        <w:t>Copyright, Compromise, and Legislative History</w:t>
      </w:r>
      <w:r w:rsidR="00331B49">
        <w:t xml:space="preserve">, 72 Cornell L. Rev. 857, 870 (1987). It was </w:t>
      </w:r>
      <w:r w:rsidR="00E628F3">
        <w:t xml:space="preserve">“the product of two decades of negotiation by representatives of creators and copyright-using industries, supervised by the Copyright Office and, to a lesser extent, by Congress.” </w:t>
      </w:r>
      <w:r w:rsidR="00E628F3">
        <w:rPr>
          <w:i/>
        </w:rPr>
        <w:t>Community for Creative Non-Violence v. Reid</w:t>
      </w:r>
      <w:r w:rsidR="00E628F3">
        <w:t xml:space="preserve">, 490 U.S. 730, 743 (1989)(citing </w:t>
      </w:r>
      <w:r w:rsidR="00E628F3">
        <w:rPr>
          <w:i/>
        </w:rPr>
        <w:t>Mills Music, Inc. v. Snyder</w:t>
      </w:r>
      <w:r w:rsidR="00E628F3">
        <w:t xml:space="preserve">, </w:t>
      </w:r>
      <w:r w:rsidR="009C750C">
        <w:t xml:space="preserve">469 U.S. 153, 159 (1985)). </w:t>
      </w:r>
      <w:r w:rsidR="00C477AB">
        <w:t>U</w:t>
      </w:r>
      <w:r>
        <w:t>nder this shroud of confusing history</w:t>
      </w:r>
      <w:r w:rsidR="00C477AB">
        <w:t xml:space="preserve">, </w:t>
      </w:r>
      <w:r w:rsidR="002F74A1">
        <w:t>Defendants</w:t>
      </w:r>
      <w:r>
        <w:t xml:space="preserve"> have found and</w:t>
      </w:r>
      <w:r w:rsidR="00C477AB">
        <w:t xml:space="preserve"> adamantly argue a </w:t>
      </w:r>
      <w:r>
        <w:t>clear</w:t>
      </w:r>
      <w:r w:rsidR="00C477AB">
        <w:t xml:space="preserve"> Congressional</w:t>
      </w:r>
      <w:r>
        <w:t xml:space="preserve"> intent for a pre-creation writing, based on a single comment made </w:t>
      </w:r>
      <w:r w:rsidR="00C477AB">
        <w:t xml:space="preserve">ten years prior to the statutes enactment </w:t>
      </w:r>
      <w:r>
        <w:t xml:space="preserve">by </w:t>
      </w:r>
      <w:r w:rsidR="002F74A1">
        <w:t>Barbara Ringer, former Register of Copyrights. H.R. Rep. 51 374, 89</w:t>
      </w:r>
      <w:r w:rsidR="002F74A1" w:rsidRPr="00D6505B">
        <w:rPr>
          <w:vertAlign w:val="superscript"/>
        </w:rPr>
        <w:t>th</w:t>
      </w:r>
      <w:r w:rsidR="002F74A1">
        <w:t xml:space="preserve"> Cong., 1</w:t>
      </w:r>
      <w:r w:rsidR="002F74A1" w:rsidRPr="00D6505B">
        <w:rPr>
          <w:vertAlign w:val="superscript"/>
        </w:rPr>
        <w:t>st</w:t>
      </w:r>
      <w:r w:rsidR="002F74A1">
        <w:t xml:space="preserve"> Sess., Part 5, </w:t>
      </w:r>
      <w:r w:rsidR="002F74A1" w:rsidRPr="00D6505B">
        <w:rPr>
          <w:i/>
        </w:rPr>
        <w:t xml:space="preserve">1964 Revision Bill with Discussion and Comments </w:t>
      </w:r>
      <w:r w:rsidR="002F74A1">
        <w:t>(1965). This is insufficient evidence of</w:t>
      </w:r>
      <w:r>
        <w:t xml:space="preserve"> </w:t>
      </w:r>
      <w:r w:rsidR="00C477AB">
        <w:t xml:space="preserve">a </w:t>
      </w:r>
      <w:r>
        <w:t xml:space="preserve">Congressional </w:t>
      </w:r>
      <w:r w:rsidR="00C477AB">
        <w:t>consensus</w:t>
      </w:r>
      <w:r>
        <w:t xml:space="preserve"> </w:t>
      </w:r>
      <w:r w:rsidR="00C477AB">
        <w:t xml:space="preserve">regarding a timing requirement </w:t>
      </w:r>
      <w:r>
        <w:t>and certainly does not merit overriding</w:t>
      </w:r>
      <w:r w:rsidR="002F74A1">
        <w:t xml:space="preserve"> the plain meaning of the statute.</w:t>
      </w:r>
    </w:p>
    <w:p w14:paraId="15EB48B7" w14:textId="77777777" w:rsidR="00441466" w:rsidRDefault="00441466" w:rsidP="009C750C">
      <w:pPr>
        <w:tabs>
          <w:tab w:val="left" w:pos="720"/>
        </w:tabs>
        <w:spacing w:line="480" w:lineRule="auto"/>
      </w:pPr>
      <w:r>
        <w:tab/>
        <w:t>A more persuasive perspective on the legislative history is</w:t>
      </w:r>
      <w:r w:rsidR="003E6E2B">
        <w:t xml:space="preserve"> to</w:t>
      </w:r>
      <w:r>
        <w:t xml:space="preserve"> acknowledge that it “involved an egregious delegation of legislative authority to the very interests the statute purports to regulate.” </w:t>
      </w:r>
      <w:r w:rsidRPr="005C2DAB">
        <w:t xml:space="preserve">Litman, </w:t>
      </w:r>
      <w:r w:rsidR="005C2DAB">
        <w:rPr>
          <w:i/>
        </w:rPr>
        <w:t>supra</w:t>
      </w:r>
      <w:r w:rsidR="005C2DAB">
        <w:t>,</w:t>
      </w:r>
      <w:r w:rsidR="005C2DAB">
        <w:rPr>
          <w:i/>
        </w:rPr>
        <w:t xml:space="preserve"> </w:t>
      </w:r>
      <w:r w:rsidRPr="005C2DAB">
        <w:t>at 879.</w:t>
      </w:r>
      <w:r w:rsidRPr="002F74A1">
        <w:rPr>
          <w:color w:val="FF0000"/>
        </w:rPr>
        <w:t xml:space="preserve"> </w:t>
      </w:r>
      <w:r>
        <w:t xml:space="preserve">The </w:t>
      </w:r>
      <w:r w:rsidR="006E7C84">
        <w:t>compromises reached were</w:t>
      </w:r>
      <w:r>
        <w:t xml:space="preserve"> on the specific language, without agreement on what the language actually meant. </w:t>
      </w:r>
      <w:r>
        <w:rPr>
          <w:i/>
        </w:rPr>
        <w:t>Id</w:t>
      </w:r>
      <w:r w:rsidR="005C2DAB">
        <w:t>.</w:t>
      </w:r>
      <w:r>
        <w:rPr>
          <w:i/>
        </w:rPr>
        <w:t xml:space="preserve"> </w:t>
      </w:r>
      <w:r>
        <w:t xml:space="preserve">at 860. In light of these factors, allowing the legislative history to override the plain meaning would be to interpret the intentions not of Congress, but of the interest groups that created the compromises that are </w:t>
      </w:r>
      <w:r>
        <w:lastRenderedPageBreak/>
        <w:t>reflected in t</w:t>
      </w:r>
      <w:r w:rsidR="003E6E2B">
        <w:t>he statute. Thus, for</w:t>
      </w:r>
      <w:r>
        <w:t xml:space="preserve"> this particular statute, the Court should not rely on a legislative history so fraught with uncertainty and should instead rely on a strict plain meaning analysis.</w:t>
      </w:r>
    </w:p>
    <w:p w14:paraId="7E515776" w14:textId="77777777" w:rsidR="00441466" w:rsidRDefault="00441466" w:rsidP="005C2DAB">
      <w:pPr>
        <w:pStyle w:val="ListParagraph"/>
        <w:numPr>
          <w:ilvl w:val="4"/>
          <w:numId w:val="1"/>
        </w:numPr>
        <w:tabs>
          <w:tab w:val="left" w:pos="720"/>
          <w:tab w:val="left" w:pos="1710"/>
        </w:tabs>
        <w:spacing w:after="240"/>
      </w:pPr>
      <w:r w:rsidRPr="00441466">
        <w:rPr>
          <w:u w:val="single"/>
        </w:rPr>
        <w:t xml:space="preserve">Congressional Actions Subsequent to the 1976 Enactment Provide Added Support for the Intended Absence of a Timing Requirement. </w:t>
      </w:r>
    </w:p>
    <w:p w14:paraId="119558E9" w14:textId="77777777" w:rsidR="002F74A1" w:rsidRDefault="002F74A1" w:rsidP="009C750C">
      <w:pPr>
        <w:tabs>
          <w:tab w:val="left" w:pos="720"/>
        </w:tabs>
        <w:spacing w:line="480" w:lineRule="auto"/>
      </w:pPr>
      <w:r>
        <w:rPr>
          <w:sz w:val="22"/>
        </w:rPr>
        <w:tab/>
      </w:r>
      <w:r>
        <w:t xml:space="preserve">While not dispositive, courts </w:t>
      </w:r>
      <w:r w:rsidR="00F91966">
        <w:t>may</w:t>
      </w:r>
      <w:r>
        <w:t xml:space="preserve"> look to see</w:t>
      </w:r>
      <w:r w:rsidR="00597F70">
        <w:t xml:space="preserve"> if </w:t>
      </w:r>
      <w:r w:rsidR="006B7611">
        <w:t xml:space="preserve">legislative </w:t>
      </w:r>
      <w:r w:rsidR="00597F70">
        <w:t>actions</w:t>
      </w:r>
      <w:r>
        <w:t xml:space="preserve"> </w:t>
      </w:r>
      <w:r w:rsidR="00597F70">
        <w:t>s</w:t>
      </w:r>
      <w:r>
        <w:t>ubsequent to en</w:t>
      </w:r>
      <w:r w:rsidR="00597F70">
        <w:t>actment acknowledge</w:t>
      </w:r>
      <w:r>
        <w:t xml:space="preserve"> a consideration and rejection of an amendment that would adopt a more explicit version of the proposed reading of the statute. </w:t>
      </w:r>
      <w:r w:rsidR="00896DBD">
        <w:rPr>
          <w:i/>
        </w:rPr>
        <w:t xml:space="preserve">E.g., </w:t>
      </w:r>
      <w:r w:rsidR="00896DBD" w:rsidRPr="00597F70">
        <w:rPr>
          <w:i/>
        </w:rPr>
        <w:t>Bob</w:t>
      </w:r>
      <w:r w:rsidR="006B7611">
        <w:rPr>
          <w:i/>
        </w:rPr>
        <w:t xml:space="preserve"> Jones Univ. v. United States</w:t>
      </w:r>
      <w:r w:rsidR="006B7611">
        <w:t xml:space="preserve">, 461 U.S. 574, 601 (1983) (Congressional inaction on numerous bills introduced to overturn previous interpretation evidenced </w:t>
      </w:r>
      <w:r w:rsidR="00B82F0F">
        <w:t>a</w:t>
      </w:r>
      <w:r w:rsidR="006B7611">
        <w:t xml:space="preserve"> “prolonged and acute awareness of so important an issue”)</w:t>
      </w:r>
      <w:r w:rsidR="00896DBD" w:rsidRPr="00597F70">
        <w:t xml:space="preserve">. </w:t>
      </w:r>
      <w:r>
        <w:t>Subsequent proposals for amendments by Senator Cochran call for the additional requirement of pre-creation written agreement, a finding whi</w:t>
      </w:r>
      <w:r w:rsidR="006E7C84">
        <w:t xml:space="preserve">ch showcases </w:t>
      </w:r>
      <w:r>
        <w:t>an understanding that the current law does not specify the ti</w:t>
      </w:r>
      <w:r w:rsidR="006E7C84">
        <w:t xml:space="preserve">ming of the requirement and </w:t>
      </w:r>
      <w:r>
        <w:t xml:space="preserve">that such modifications (or interpretations) are against the will of Congress. </w:t>
      </w:r>
      <w:r>
        <w:rPr>
          <w:i/>
        </w:rPr>
        <w:t xml:space="preserve">See </w:t>
      </w:r>
      <w:r>
        <w:t xml:space="preserve">135 Cong. Rec. S7341, 13150-52 (1989). In addition, an amendment to add “prior to commencement of any physical or intellectual effort related to the specially ordered or commissioned work” was suggested for the Berne Convention Act of 1988 which modified 17 U.S.C. § 101 and was ultimately enacted without such language. </w:t>
      </w:r>
      <w:r>
        <w:rPr>
          <w:i/>
        </w:rPr>
        <w:t xml:space="preserve">See </w:t>
      </w:r>
      <w:r>
        <w:t xml:space="preserve">134 Cong. Rec. S14549, 35 (1988); </w:t>
      </w:r>
      <w:r>
        <w:rPr>
          <w:i/>
        </w:rPr>
        <w:t xml:space="preserve">as enacted, see </w:t>
      </w:r>
      <w:r>
        <w:t xml:space="preserve">S. Rep. No. 100-352 (1988). This position is furthered by the fact that Congress has revised the definitions section of § 101 several times since its 1976 enactment, proving Congress’ ability and desire to revise the definitions section for purposes where a true consensus was reached. </w:t>
      </w:r>
      <w:r>
        <w:rPr>
          <w:i/>
        </w:rPr>
        <w:t xml:space="preserve">See </w:t>
      </w:r>
      <w:r>
        <w:t xml:space="preserve">“Work Made for Hire and Copyright Corrections Act of 2000” H.R. 106-861, Pub.L. 106-379, </w:t>
      </w:r>
      <w:r w:rsidR="00441466">
        <w:t xml:space="preserve">Oct. 27, 2000, 114 Stat. 1444. </w:t>
      </w:r>
    </w:p>
    <w:p w14:paraId="29808CAE" w14:textId="77777777" w:rsidR="00D81F97" w:rsidRDefault="00D81F97" w:rsidP="009C750C">
      <w:pPr>
        <w:tabs>
          <w:tab w:val="left" w:pos="720"/>
        </w:tabs>
        <w:spacing w:line="480" w:lineRule="auto"/>
      </w:pPr>
      <w:r>
        <w:tab/>
        <w:t>The legislative histor</w:t>
      </w:r>
      <w:r w:rsidR="00FA7606">
        <w:t xml:space="preserve">y for the Copyright Act </w:t>
      </w:r>
      <w:r>
        <w:t>fails to provide a solid ground for interpreting § 101 to mean anything other than</w:t>
      </w:r>
      <w:r w:rsidR="008B0E79">
        <w:t xml:space="preserve"> simply</w:t>
      </w:r>
      <w:r>
        <w:t xml:space="preserve"> demanding a written instrument, without any further </w:t>
      </w:r>
      <w:r w:rsidR="00C477AB">
        <w:t>timing requirements. Subsequent failure</w:t>
      </w:r>
      <w:r>
        <w:t xml:space="preserve"> by Congr</w:t>
      </w:r>
      <w:r w:rsidR="00C477AB">
        <w:t xml:space="preserve">ess to amend the statute to include </w:t>
      </w:r>
      <w:r w:rsidR="00C477AB">
        <w:lastRenderedPageBreak/>
        <w:t xml:space="preserve">an explicit timing requirement strengthens this proposition. </w:t>
      </w:r>
      <w:r>
        <w:t xml:space="preserve">Plaintiff’s claim withstands the test of legislative history and the Defendants’ Motion to Dismiss should be denied. </w:t>
      </w:r>
    </w:p>
    <w:p w14:paraId="43A1C53B" w14:textId="77777777" w:rsidR="002F74A1" w:rsidRPr="002F74A1" w:rsidRDefault="002F74A1" w:rsidP="002F74A1">
      <w:pPr>
        <w:pStyle w:val="ListParagraph"/>
        <w:numPr>
          <w:ilvl w:val="1"/>
          <w:numId w:val="1"/>
        </w:numPr>
        <w:tabs>
          <w:tab w:val="left" w:pos="720"/>
        </w:tabs>
        <w:spacing w:after="240"/>
        <w:rPr>
          <w:b/>
        </w:rPr>
      </w:pPr>
      <w:r>
        <w:rPr>
          <w:b/>
        </w:rPr>
        <w:t>The Underlying Purpose and Goals of the Copyright Act are Served by Following the Plain Meaning of the Statute.</w:t>
      </w:r>
    </w:p>
    <w:p w14:paraId="30182FFE" w14:textId="77777777" w:rsidR="00C91E63" w:rsidRDefault="00C91E63" w:rsidP="009C750C">
      <w:pPr>
        <w:tabs>
          <w:tab w:val="left" w:pos="720"/>
        </w:tabs>
        <w:spacing w:line="480" w:lineRule="auto"/>
      </w:pPr>
      <w:r>
        <w:tab/>
      </w:r>
      <w:r w:rsidR="00D81F97">
        <w:t xml:space="preserve">Based on a perceived ambiguity, the Court may assess </w:t>
      </w:r>
      <w:r w:rsidR="00716AD5">
        <w:t xml:space="preserve">the statute </w:t>
      </w:r>
      <w:r w:rsidR="00D81F97">
        <w:t>not only</w:t>
      </w:r>
      <w:r>
        <w:t xml:space="preserve"> “against the background of its legislative history</w:t>
      </w:r>
      <w:r w:rsidR="00D81F97">
        <w:t>” but also “</w:t>
      </w:r>
      <w:r>
        <w:t xml:space="preserve">in the light of the general objectives Congress sought to achieve.” </w:t>
      </w:r>
      <w:r>
        <w:rPr>
          <w:i/>
        </w:rPr>
        <w:t>Wirtz v. Bottle Blowers Ass’n</w:t>
      </w:r>
      <w:r>
        <w:t>, 389 U.S. 463, 468 (1968).</w:t>
      </w:r>
      <w:r w:rsidR="00D81F97">
        <w:t xml:space="preserve"> An examination of the objectives that Congress sought to achieve proves that the plain meaning of the statute is </w:t>
      </w:r>
      <w:r w:rsidR="00C477AB">
        <w:t xml:space="preserve">the </w:t>
      </w:r>
      <w:r w:rsidR="00D81F97">
        <w:t>appropriate</w:t>
      </w:r>
      <w:r w:rsidR="00C477AB">
        <w:t xml:space="preserve"> interpretation</w:t>
      </w:r>
      <w:r w:rsidR="00D81F97">
        <w:t>.</w:t>
      </w:r>
    </w:p>
    <w:p w14:paraId="2AF5E8A9" w14:textId="77777777" w:rsidR="00716AD5" w:rsidRDefault="00716AD5" w:rsidP="009C750C">
      <w:pPr>
        <w:tabs>
          <w:tab w:val="left" w:pos="720"/>
        </w:tabs>
        <w:spacing w:line="480" w:lineRule="auto"/>
      </w:pPr>
      <w:r>
        <w:tab/>
        <w:t>In search of the general objectives, the Supreme Court no</w:t>
      </w:r>
      <w:r w:rsidR="00B82F0F">
        <w:t>ted a paramount goal of the Copyright</w:t>
      </w:r>
      <w:r>
        <w:t xml:space="preserve"> Act as “enhancing predictability and certainty of copyright ownership.” </w:t>
      </w:r>
      <w:r w:rsidR="001A105D">
        <w:rPr>
          <w:i/>
        </w:rPr>
        <w:t>Reid</w:t>
      </w:r>
      <w:r w:rsidR="00896DBD">
        <w:t>,</w:t>
      </w:r>
      <w:r>
        <w:rPr>
          <w:i/>
        </w:rPr>
        <w:t xml:space="preserve"> </w:t>
      </w:r>
      <w:r>
        <w:t xml:space="preserve">at 749. </w:t>
      </w:r>
      <w:r w:rsidR="00A65CD7">
        <w:t>The Seventh Circuit</w:t>
      </w:r>
      <w:r>
        <w:t xml:space="preserve"> has interpreted the underlying purpose to be protection “against false oral agreements” and defining ownership rights with sufficient clarity “so that such property will be readily marketable.” </w:t>
      </w:r>
      <w:r>
        <w:rPr>
          <w:i/>
        </w:rPr>
        <w:t>Schiller &amp; Schmidt, Inc. v. Nordisco Corp.</w:t>
      </w:r>
      <w:r>
        <w:t xml:space="preserve">, 969 F.2d 410, 412 (7th Cir. 1992). </w:t>
      </w:r>
      <w:r w:rsidR="00896DBD">
        <w:t xml:space="preserve">The “written instrument” </w:t>
      </w:r>
      <w:r>
        <w:t>requirement o</w:t>
      </w:r>
      <w:r w:rsidR="006608B2">
        <w:t xml:space="preserve">f § 101(2) furthers these goals whether such a writing is signed before or after the work is created. Reading § 101(2) to provide flexibility in the timing of the signed writing </w:t>
      </w:r>
      <w:r>
        <w:t>provides greater</w:t>
      </w:r>
      <w:r w:rsidR="006608B2">
        <w:t xml:space="preserve"> predictability, providing peace</w:t>
      </w:r>
      <w:r>
        <w:t xml:space="preserve"> of mind to commissioners </w:t>
      </w:r>
      <w:r w:rsidR="006608B2">
        <w:t xml:space="preserve">and writers that procedural technicalities </w:t>
      </w:r>
      <w:r w:rsidR="00C477AB">
        <w:t>will not prevent the intended work for hire</w:t>
      </w:r>
      <w:r w:rsidR="006608B2">
        <w:t xml:space="preserve"> relationship from being recognized by law</w:t>
      </w:r>
      <w:r>
        <w:t xml:space="preserve">. It protects against false oral agreements by mandating a written instrument, and allows the property to be readily marketable, without burdening the process with unnecessary procedurals hurdles.  </w:t>
      </w:r>
    </w:p>
    <w:p w14:paraId="36EB5684" w14:textId="77777777" w:rsidR="001A105D" w:rsidRPr="00B82F0F" w:rsidRDefault="00C91E63" w:rsidP="009C750C">
      <w:pPr>
        <w:tabs>
          <w:tab w:val="left" w:pos="720"/>
        </w:tabs>
        <w:spacing w:line="480" w:lineRule="auto"/>
      </w:pPr>
      <w:r>
        <w:tab/>
      </w:r>
      <w:r w:rsidR="00BD1D79">
        <w:t>Complementary to the</w:t>
      </w:r>
      <w:r w:rsidR="00C477AB">
        <w:t xml:space="preserve"> goals of the </w:t>
      </w:r>
      <w:r w:rsidR="00BD1D79">
        <w:t xml:space="preserve">Copyright </w:t>
      </w:r>
      <w:r w:rsidR="00C477AB">
        <w:t xml:space="preserve">Act as a whole, the work for hire provision sought </w:t>
      </w:r>
      <w:r w:rsidR="00BD1D79">
        <w:t xml:space="preserve">to provide commissioners of works with additional rights in limited circumstances. Congress </w:t>
      </w:r>
      <w:r w:rsidR="00EA637A">
        <w:t>enumerate</w:t>
      </w:r>
      <w:r w:rsidR="00BD1D79">
        <w:t>d</w:t>
      </w:r>
      <w:r w:rsidR="009C750C" w:rsidRPr="009C750C">
        <w:t xml:space="preserve"> nine </w:t>
      </w:r>
      <w:r w:rsidR="0009757E">
        <w:t xml:space="preserve">unique </w:t>
      </w:r>
      <w:r w:rsidR="009C750C" w:rsidRPr="009C750C">
        <w:t xml:space="preserve">categories of commissioned works for hire </w:t>
      </w:r>
      <w:r w:rsidR="006608B2">
        <w:t xml:space="preserve">in § 101(2) </w:t>
      </w:r>
      <w:r w:rsidR="006608B2">
        <w:lastRenderedPageBreak/>
        <w:t xml:space="preserve">because the </w:t>
      </w:r>
      <w:r w:rsidR="009C750C" w:rsidRPr="009C750C">
        <w:t>risk</w:t>
      </w:r>
      <w:r w:rsidR="0009757E">
        <w:t>s</w:t>
      </w:r>
      <w:r w:rsidR="009C750C" w:rsidRPr="009C750C">
        <w:t xml:space="preserve"> of commercial failure </w:t>
      </w:r>
      <w:r w:rsidR="0009757E">
        <w:t>for these particular works rest</w:t>
      </w:r>
      <w:r w:rsidR="006608B2">
        <w:t xml:space="preserve"> </w:t>
      </w:r>
      <w:r w:rsidR="009C750C" w:rsidRPr="009C750C">
        <w:t xml:space="preserve">almost entirely with the commissioner and not the creator. </w:t>
      </w:r>
      <w:r w:rsidR="0009757E">
        <w:t xml:space="preserve">Matthew R. Harris, </w:t>
      </w:r>
      <w:r w:rsidR="0009757E">
        <w:rPr>
          <w:i/>
        </w:rPr>
        <w:t xml:space="preserve">Copyright, Computer Software, and Work Made for </w:t>
      </w:r>
      <w:r w:rsidR="0009757E" w:rsidRPr="009C750C">
        <w:t>Hire</w:t>
      </w:r>
      <w:r w:rsidR="0009757E">
        <w:t xml:space="preserve">, 89 Mich. L. Rev. 661, 662 (1990). </w:t>
      </w:r>
      <w:r w:rsidR="00BB717D">
        <w:t xml:space="preserve">This risk, combined with the commissioner’s </w:t>
      </w:r>
      <w:r w:rsidR="00BD1D79">
        <w:t xml:space="preserve">superior </w:t>
      </w:r>
      <w:r w:rsidR="00BB717D">
        <w:t>position to exploit and market the work</w:t>
      </w:r>
      <w:r w:rsidR="009C750C" w:rsidRPr="009C750C">
        <w:t xml:space="preserve">, </w:t>
      </w:r>
      <w:r w:rsidR="00BB717D">
        <w:t>merited a</w:t>
      </w:r>
      <w:r w:rsidR="009C750C" w:rsidRPr="009C750C">
        <w:t xml:space="preserve"> presumption that the copyright of the</w:t>
      </w:r>
      <w:r w:rsidR="00BB717D">
        <w:t>se categories of</w:t>
      </w:r>
      <w:r w:rsidR="009C750C" w:rsidRPr="009C750C">
        <w:t xml:space="preserve"> commissioned work</w:t>
      </w:r>
      <w:r w:rsidR="00BB717D">
        <w:t>s</w:t>
      </w:r>
      <w:r w:rsidR="009C750C" w:rsidRPr="009C750C">
        <w:t xml:space="preserve"> w</w:t>
      </w:r>
      <w:r w:rsidR="00BB717D">
        <w:t xml:space="preserve">ould rest with the commissioner. </w:t>
      </w:r>
      <w:r w:rsidR="0009757E" w:rsidRPr="0009757E">
        <w:rPr>
          <w:i/>
        </w:rPr>
        <w:t>Id</w:t>
      </w:r>
      <w:r w:rsidR="0009757E" w:rsidRPr="0009757E">
        <w:t>.</w:t>
      </w:r>
      <w:r w:rsidR="003A0D91" w:rsidRPr="0009757E">
        <w:t xml:space="preserve"> </w:t>
      </w:r>
      <w:r w:rsidR="00B82F0F">
        <w:t>Based on this presumption, Congress likely saw the timing requirement as unnecessarily burdensome for this socially and economically beneficial agreement.</w:t>
      </w:r>
      <w:r w:rsidR="006608B2">
        <w:t xml:space="preserve"> </w:t>
      </w:r>
      <w:r w:rsidR="00BB717D">
        <w:t>In the case at hand</w:t>
      </w:r>
      <w:r w:rsidR="009C750C" w:rsidRPr="009C750C">
        <w:t xml:space="preserve">, </w:t>
      </w:r>
      <w:r w:rsidR="00716AD5">
        <w:t xml:space="preserve">Plaintiff undertook the risk of paying $6,000 for a potentially unsuccessful, or unmarketable, screenplay. </w:t>
      </w:r>
      <w:r w:rsidR="009C750C" w:rsidRPr="00A65CD7">
        <w:t xml:space="preserve">Lime </w:t>
      </w:r>
      <w:r w:rsidR="00BD1D79">
        <w:t>could not m</w:t>
      </w:r>
      <w:r w:rsidR="009C750C" w:rsidRPr="00A65CD7">
        <w:t xml:space="preserve">arket </w:t>
      </w:r>
      <w:r w:rsidR="00BD1D79">
        <w:t>a</w:t>
      </w:r>
      <w:r w:rsidR="009C750C" w:rsidRPr="00A65CD7">
        <w:t xml:space="preserve"> screenplay to the public herself; sh</w:t>
      </w:r>
      <w:r w:rsidR="00B82F0F">
        <w:t>e needed a broadcasting company</w:t>
      </w:r>
      <w:r w:rsidR="009C750C" w:rsidRPr="00A65CD7">
        <w:t xml:space="preserve"> like </w:t>
      </w:r>
      <w:r w:rsidR="0009757E">
        <w:t>OGS</w:t>
      </w:r>
      <w:r w:rsidR="003A0D91" w:rsidRPr="00A65CD7">
        <w:t xml:space="preserve">. </w:t>
      </w:r>
      <w:r w:rsidR="0009757E">
        <w:t xml:space="preserve">While </w:t>
      </w:r>
      <w:r w:rsidR="00A65CD7">
        <w:t xml:space="preserve">the facts </w:t>
      </w:r>
      <w:r w:rsidR="0009757E">
        <w:t xml:space="preserve">show </w:t>
      </w:r>
      <w:r w:rsidR="00A65CD7">
        <w:t>that Lime was able to negotiate with the TinyTV after the commissioned work was completed, is in unlikely that Lime would have dedicated her time and efforts to a such a screenplay had Plaintiff not guaranteed her payment upon receipt. The risk sat with Plaintiff, while Lime was guaranteed the benefit. Such scenario presents the exact s</w:t>
      </w:r>
      <w:r w:rsidR="00B82F0F">
        <w:t>ituation which the work for hire provision</w:t>
      </w:r>
      <w:r w:rsidR="00BB717D">
        <w:t xml:space="preserve"> is</w:t>
      </w:r>
      <w:r w:rsidR="00A65CD7">
        <w:t xml:space="preserve"> designed to protect.</w:t>
      </w:r>
    </w:p>
    <w:p w14:paraId="7D62C57D" w14:textId="77777777" w:rsidR="00BD1D79" w:rsidRPr="00BD1D79" w:rsidRDefault="00A65CD7" w:rsidP="00BD1D79">
      <w:pPr>
        <w:tabs>
          <w:tab w:val="left" w:pos="720"/>
        </w:tabs>
        <w:spacing w:line="480" w:lineRule="auto"/>
        <w:rPr>
          <w:color w:val="FF0000"/>
        </w:rPr>
      </w:pPr>
      <w:r>
        <w:tab/>
        <w:t xml:space="preserve">The work made for hire doctrine was </w:t>
      </w:r>
      <w:r w:rsidR="0009757E">
        <w:t>created to</w:t>
      </w:r>
      <w:r>
        <w:t xml:space="preserve"> </w:t>
      </w:r>
      <w:r w:rsidR="001220C4">
        <w:t xml:space="preserve">allow </w:t>
      </w:r>
      <w:r w:rsidR="0009757E">
        <w:t xml:space="preserve">authorship and </w:t>
      </w:r>
      <w:r w:rsidR="001220C4">
        <w:t>copyright ownership to reside with the commissioner for certain categories of works, while the overarching goal of the statute was to ensure predictability and certainty. The plain meaning of the statute not only serves the</w:t>
      </w:r>
      <w:r w:rsidR="0009757E">
        <w:t>se</w:t>
      </w:r>
      <w:r w:rsidR="001220C4">
        <w:t xml:space="preserve"> goals, it </w:t>
      </w:r>
      <w:r w:rsidR="0009757E">
        <w:t xml:space="preserve">also </w:t>
      </w:r>
      <w:r w:rsidR="001220C4">
        <w:t xml:space="preserve">provides equitable relief in a case that fits the blueprint of what the work made for hire doctrine </w:t>
      </w:r>
      <w:r w:rsidR="0009757E">
        <w:t>seeks</w:t>
      </w:r>
      <w:r w:rsidR="001220C4">
        <w:t xml:space="preserve"> to ensure. For these reasons, the Court should find the written instrument evidencing the work for hire relationship between OGS and Lime sufficient to maintain Plaintiff’s claim and should therefore deny</w:t>
      </w:r>
      <w:r w:rsidR="00BD1D79">
        <w:t xml:space="preserve"> Defendants’ Motion to Dismiss.</w:t>
      </w:r>
    </w:p>
    <w:p w14:paraId="513F4DD0" w14:textId="77777777" w:rsidR="0012338F" w:rsidRDefault="0012338F" w:rsidP="002F74A1">
      <w:pPr>
        <w:pStyle w:val="ListParagraph"/>
        <w:numPr>
          <w:ilvl w:val="1"/>
          <w:numId w:val="1"/>
        </w:numPr>
        <w:tabs>
          <w:tab w:val="left" w:pos="720"/>
        </w:tabs>
        <w:spacing w:after="240"/>
        <w:rPr>
          <w:b/>
        </w:rPr>
      </w:pPr>
      <w:r>
        <w:rPr>
          <w:b/>
        </w:rPr>
        <w:t xml:space="preserve">The Canons of Statutory Interpretation </w:t>
      </w:r>
      <w:r w:rsidR="001220C4">
        <w:rPr>
          <w:b/>
        </w:rPr>
        <w:t>Indicate</w:t>
      </w:r>
      <w:r>
        <w:rPr>
          <w:b/>
        </w:rPr>
        <w:t xml:space="preserve"> a Strong Preference for a Reading that Does Not Impose an Added Time Constraint</w:t>
      </w:r>
      <w:r w:rsidR="00E024CD">
        <w:rPr>
          <w:b/>
        </w:rPr>
        <w:t>.</w:t>
      </w:r>
    </w:p>
    <w:p w14:paraId="0498F2B7" w14:textId="77777777" w:rsidR="00A87608" w:rsidRDefault="00794728" w:rsidP="00385708">
      <w:pPr>
        <w:tabs>
          <w:tab w:val="left" w:pos="720"/>
        </w:tabs>
        <w:spacing w:line="480" w:lineRule="auto"/>
      </w:pPr>
      <w:r>
        <w:tab/>
      </w:r>
      <w:r w:rsidR="00A87608">
        <w:t xml:space="preserve">When a statute </w:t>
      </w:r>
      <w:r w:rsidR="00A27CDA">
        <w:t>is ambiguous</w:t>
      </w:r>
      <w:r w:rsidR="00A87608">
        <w:t xml:space="preserve"> and the congressional intent is beyond common </w:t>
      </w:r>
      <w:r w:rsidR="00A87608">
        <w:lastRenderedPageBreak/>
        <w:t xml:space="preserve">comprehension, the Court should look to canons of interpretation as “axioms of experience.” </w:t>
      </w:r>
      <w:r w:rsidR="00A87608">
        <w:rPr>
          <w:i/>
        </w:rPr>
        <w:t xml:space="preserve">Boston Sand &amp; Gravel Co. v. United </w:t>
      </w:r>
      <w:r w:rsidR="00A87608" w:rsidRPr="00A87608">
        <w:rPr>
          <w:i/>
        </w:rPr>
        <w:t>States</w:t>
      </w:r>
      <w:r w:rsidR="00A87608">
        <w:t xml:space="preserve">, 278 U.S. 41, 48 (1928). </w:t>
      </w:r>
    </w:p>
    <w:p w14:paraId="7AA41B43" w14:textId="77777777" w:rsidR="00A87608" w:rsidRDefault="00A87608" w:rsidP="00385708">
      <w:pPr>
        <w:tabs>
          <w:tab w:val="left" w:pos="720"/>
        </w:tabs>
        <w:spacing w:line="480" w:lineRule="auto"/>
      </w:pPr>
      <w:r>
        <w:tab/>
      </w:r>
      <w:r w:rsidR="001220C4">
        <w:t>An applicable canon in this case is</w:t>
      </w:r>
      <w:r w:rsidR="007C725C">
        <w:t xml:space="preserve"> the</w:t>
      </w:r>
      <w:r w:rsidR="001220C4">
        <w:t xml:space="preserve"> presumption that Congress knows how to provide, and chooses to provide, expli</w:t>
      </w:r>
      <w:r w:rsidR="00B82F0F">
        <w:t>cit requirements when it wishes</w:t>
      </w:r>
      <w:r w:rsidR="001220C4">
        <w:t xml:space="preserve">. </w:t>
      </w:r>
      <w:r>
        <w:t>Looking beyond the provision in disp</w:t>
      </w:r>
      <w:r w:rsidR="0009757E">
        <w:t>ute, it is clear that Congress knows</w:t>
      </w:r>
      <w:r w:rsidR="0042622D">
        <w:t xml:space="preserve"> how to specify explicit timing requirements for the execution of a written instrument. Courts have often recognized </w:t>
      </w:r>
      <w:r w:rsidR="001220C4">
        <w:t>the use of</w:t>
      </w:r>
      <w:r w:rsidR="0042622D">
        <w:t xml:space="preserve"> contrasting, clear, and direct language in other statutes in order show lack of a similar intention in the statute in dispute. </w:t>
      </w:r>
      <w:r w:rsidR="0009757E">
        <w:rPr>
          <w:i/>
        </w:rPr>
        <w:t>See e.g., Cent.</w:t>
      </w:r>
      <w:r w:rsidR="0042622D">
        <w:rPr>
          <w:i/>
        </w:rPr>
        <w:t xml:space="preserve"> Bank of Denver v. First Interstate Bank</w:t>
      </w:r>
      <w:r w:rsidR="0042622D">
        <w:t>, 511 U.S. 164, 176-77 (1994).</w:t>
      </w:r>
      <w:r w:rsidR="0042622D" w:rsidRPr="0042622D">
        <w:rPr>
          <w:szCs w:val="24"/>
        </w:rPr>
        <w:t xml:space="preserve"> </w:t>
      </w:r>
      <w:r w:rsidR="00996E7D">
        <w:rPr>
          <w:szCs w:val="24"/>
        </w:rPr>
        <w:t>One must</w:t>
      </w:r>
      <w:r w:rsidR="00385708">
        <w:rPr>
          <w:szCs w:val="24"/>
        </w:rPr>
        <w:t xml:space="preserve"> as</w:t>
      </w:r>
      <w:r w:rsidR="00996E7D">
        <w:rPr>
          <w:szCs w:val="24"/>
        </w:rPr>
        <w:t>sume</w:t>
      </w:r>
      <w:r w:rsidR="00E024CD">
        <w:rPr>
          <w:szCs w:val="24"/>
        </w:rPr>
        <w:t xml:space="preserve"> that Congress choses its</w:t>
      </w:r>
      <w:r w:rsidR="00385708">
        <w:rPr>
          <w:szCs w:val="24"/>
        </w:rPr>
        <w:t xml:space="preserve"> words wisely and know</w:t>
      </w:r>
      <w:r w:rsidR="00890F2D">
        <w:rPr>
          <w:szCs w:val="24"/>
        </w:rPr>
        <w:t>s</w:t>
      </w:r>
      <w:r w:rsidR="00385708">
        <w:rPr>
          <w:szCs w:val="24"/>
        </w:rPr>
        <w:t xml:space="preserve"> how to add specific requirements when that is </w:t>
      </w:r>
      <w:r w:rsidR="00890F2D">
        <w:rPr>
          <w:szCs w:val="24"/>
        </w:rPr>
        <w:t>its</w:t>
      </w:r>
      <w:r w:rsidR="001220C4">
        <w:rPr>
          <w:szCs w:val="24"/>
        </w:rPr>
        <w:t xml:space="preserve"> intention, and for § 101(2), Congress intentionally chose not to add a timing requirement. </w:t>
      </w:r>
    </w:p>
    <w:p w14:paraId="04B6CFCE" w14:textId="77777777" w:rsidR="00996E7D" w:rsidRDefault="00A87608" w:rsidP="00385708">
      <w:pPr>
        <w:tabs>
          <w:tab w:val="left" w:pos="720"/>
        </w:tabs>
        <w:spacing w:line="480" w:lineRule="auto"/>
        <w:rPr>
          <w:rFonts w:eastAsia="Calibri"/>
          <w:szCs w:val="24"/>
        </w:rPr>
      </w:pPr>
      <w:r>
        <w:tab/>
      </w:r>
      <w:r w:rsidR="00E61F8A">
        <w:rPr>
          <w:szCs w:val="24"/>
        </w:rPr>
        <w:t xml:space="preserve">Defendants </w:t>
      </w:r>
      <w:r w:rsidR="00E57718" w:rsidRPr="007D11E3">
        <w:rPr>
          <w:szCs w:val="24"/>
        </w:rPr>
        <w:t>argue that the work for hire agreement must be pre-creation, otherwise they render the transfer provision in the statute, 17 U.S.C. §</w:t>
      </w:r>
      <w:r w:rsidR="00996E7D">
        <w:rPr>
          <w:szCs w:val="24"/>
        </w:rPr>
        <w:t xml:space="preserve"> </w:t>
      </w:r>
      <w:r w:rsidR="00E57718" w:rsidRPr="007D11E3">
        <w:rPr>
          <w:szCs w:val="24"/>
        </w:rPr>
        <w:t xml:space="preserve">204, redundant. </w:t>
      </w:r>
      <w:r w:rsidR="00E57718" w:rsidRPr="007D11E3">
        <w:rPr>
          <w:rFonts w:eastAsia="Calibri"/>
          <w:szCs w:val="24"/>
        </w:rPr>
        <w:t xml:space="preserve">When possible, statutes should be construed “so as to avoid rendering superfluous” any statutory language. </w:t>
      </w:r>
      <w:r w:rsidR="00E57718" w:rsidRPr="007D11E3">
        <w:rPr>
          <w:rFonts w:eastAsia="Calibri"/>
          <w:i/>
          <w:szCs w:val="24"/>
        </w:rPr>
        <w:t>Astoria Federal Savings &amp; Loan Ass’n v. Solimino</w:t>
      </w:r>
      <w:r w:rsidR="00E57718" w:rsidRPr="007D11E3">
        <w:rPr>
          <w:rFonts w:eastAsia="Calibri"/>
          <w:szCs w:val="24"/>
        </w:rPr>
        <w:t>, 501 U.S. 104, 112 (1991)</w:t>
      </w:r>
      <w:r w:rsidR="00E57718">
        <w:rPr>
          <w:rFonts w:eastAsia="Calibri"/>
          <w:szCs w:val="24"/>
        </w:rPr>
        <w:t>. This argument, however, is misguided as it fails to account for the fact that § 201 makes the employer or commissioner the author and copyright owner, while § 204 conveys, via transfer, only the copyright ownership. These two provisions are not redundant, as they relate to two fundamentally different transactions.</w:t>
      </w:r>
      <w:r w:rsidR="00E61F8A">
        <w:rPr>
          <w:rFonts w:eastAsia="Calibri"/>
          <w:szCs w:val="24"/>
        </w:rPr>
        <w:t xml:space="preserve"> </w:t>
      </w:r>
      <w:r w:rsidR="00EB4871">
        <w:rPr>
          <w:rFonts w:eastAsia="Calibri"/>
          <w:szCs w:val="24"/>
        </w:rPr>
        <w:t xml:space="preserve">Authorship identifies the person who originally commissioned or created the work, while ownership relates only to the current holder of the copyright. </w:t>
      </w:r>
      <w:r w:rsidR="00623F16">
        <w:rPr>
          <w:rFonts w:eastAsia="Calibri"/>
          <w:szCs w:val="24"/>
        </w:rPr>
        <w:t xml:space="preserve">The transfer provision allows for parties who were completely unrelated to the initial work to acquire the copyright. </w:t>
      </w:r>
      <w:r w:rsidR="00F2271A">
        <w:rPr>
          <w:rFonts w:eastAsia="Calibri"/>
          <w:szCs w:val="24"/>
        </w:rPr>
        <w:t>Moreover, § 20</w:t>
      </w:r>
      <w:r w:rsidR="00996E7D">
        <w:rPr>
          <w:rFonts w:eastAsia="Calibri"/>
          <w:szCs w:val="24"/>
        </w:rPr>
        <w:t>3 provides termination options for transfers, while works made for hire are excluded from this section. 17 U.S.C. § 203 (2006). Authorship under § 201(b)</w:t>
      </w:r>
      <w:r w:rsidR="00BB717D">
        <w:rPr>
          <w:rFonts w:eastAsia="Calibri"/>
          <w:szCs w:val="24"/>
        </w:rPr>
        <w:t xml:space="preserve"> </w:t>
      </w:r>
      <w:r w:rsidR="00996E7D">
        <w:rPr>
          <w:rFonts w:eastAsia="Calibri"/>
          <w:szCs w:val="24"/>
        </w:rPr>
        <w:t xml:space="preserve">provides the commissioner of </w:t>
      </w:r>
      <w:r w:rsidR="00996E7D">
        <w:rPr>
          <w:rFonts w:eastAsia="Calibri"/>
          <w:szCs w:val="24"/>
        </w:rPr>
        <w:lastRenderedPageBreak/>
        <w:t>the work wi</w:t>
      </w:r>
      <w:r w:rsidR="00BD1D79">
        <w:rPr>
          <w:rFonts w:eastAsia="Calibri"/>
          <w:szCs w:val="24"/>
        </w:rPr>
        <w:t>th the added protection that</w:t>
      </w:r>
      <w:r w:rsidR="00996E7D">
        <w:rPr>
          <w:rFonts w:eastAsia="Calibri"/>
          <w:szCs w:val="24"/>
        </w:rPr>
        <w:t xml:space="preserve"> copyright ownership will not be terminated. </w:t>
      </w:r>
    </w:p>
    <w:p w14:paraId="744ECC0D" w14:textId="77777777" w:rsidR="00EB4871" w:rsidRDefault="00996E7D" w:rsidP="00385708">
      <w:pPr>
        <w:tabs>
          <w:tab w:val="left" w:pos="720"/>
        </w:tabs>
        <w:spacing w:line="480" w:lineRule="auto"/>
        <w:rPr>
          <w:rFonts w:eastAsia="Calibri"/>
          <w:szCs w:val="24"/>
        </w:rPr>
      </w:pPr>
      <w:r>
        <w:rPr>
          <w:rFonts w:eastAsia="Calibri"/>
          <w:szCs w:val="24"/>
        </w:rPr>
        <w:tab/>
      </w:r>
      <w:r w:rsidR="00EB4871">
        <w:rPr>
          <w:rFonts w:eastAsia="Calibri"/>
          <w:szCs w:val="24"/>
        </w:rPr>
        <w:t>The canons of construction further support the plain meaning of the statute. Congressional silence should not be misconstrued to append supplemental requirements so long as the provision does not render other aspects superfluous. As explained, the plain meaning of this statute withstands this test and thus supports the claims alleged in the Plaintiff’s complaint.  T</w:t>
      </w:r>
      <w:r w:rsidR="00A27CDA">
        <w:rPr>
          <w:rFonts w:eastAsia="Calibri"/>
          <w:szCs w:val="24"/>
        </w:rPr>
        <w:t>herefore, t</w:t>
      </w:r>
      <w:r w:rsidR="00EB4871">
        <w:rPr>
          <w:rFonts w:eastAsia="Calibri"/>
          <w:szCs w:val="24"/>
        </w:rPr>
        <w:t xml:space="preserve">he Defendants’ Motion should be denied. </w:t>
      </w:r>
    </w:p>
    <w:p w14:paraId="0DF71419" w14:textId="77777777" w:rsidR="008E2E56" w:rsidRDefault="00810C09" w:rsidP="002F74A1">
      <w:pPr>
        <w:pStyle w:val="ListParagraph"/>
        <w:numPr>
          <w:ilvl w:val="1"/>
          <w:numId w:val="1"/>
        </w:numPr>
        <w:tabs>
          <w:tab w:val="left" w:pos="720"/>
        </w:tabs>
        <w:spacing w:after="240"/>
        <w:rPr>
          <w:b/>
        </w:rPr>
      </w:pPr>
      <w:r>
        <w:rPr>
          <w:b/>
        </w:rPr>
        <w:t>Case Law Supports</w:t>
      </w:r>
      <w:r w:rsidR="0012338F">
        <w:rPr>
          <w:b/>
        </w:rPr>
        <w:t xml:space="preserve"> </w:t>
      </w:r>
      <w:r w:rsidR="008E2E56">
        <w:rPr>
          <w:b/>
        </w:rPr>
        <w:t>Finding the Oral Agreement and Subsequent Written Contract Signed by both Parties Sufficient under § 101(2)</w:t>
      </w:r>
      <w:r w:rsidR="00E024CD">
        <w:rPr>
          <w:b/>
        </w:rPr>
        <w:t>.</w:t>
      </w:r>
    </w:p>
    <w:p w14:paraId="5ACAC2D8" w14:textId="77777777" w:rsidR="007C725C" w:rsidRDefault="008E2E56" w:rsidP="00C51AA1">
      <w:pPr>
        <w:tabs>
          <w:tab w:val="left" w:pos="720"/>
        </w:tabs>
        <w:spacing w:line="480" w:lineRule="auto"/>
      </w:pPr>
      <w:r>
        <w:tab/>
      </w:r>
      <w:r w:rsidR="00623F16">
        <w:t xml:space="preserve">Relevant case law provides support for Plaintiff’s assertion of copyright ownership and should be considered for two reasons. First, </w:t>
      </w:r>
      <w:r w:rsidR="0040263D">
        <w:t>authorities from other jurisdictions provide</w:t>
      </w:r>
      <w:r w:rsidR="00623F16">
        <w:t xml:space="preserve"> the </w:t>
      </w:r>
      <w:r w:rsidR="0040263D">
        <w:t>C</w:t>
      </w:r>
      <w:r w:rsidR="00623F16">
        <w:t xml:space="preserve">ourt with </w:t>
      </w:r>
      <w:r w:rsidR="0040263D">
        <w:t>persuasive support for existing interpretations</w:t>
      </w:r>
      <w:r w:rsidR="00AA624C">
        <w:t xml:space="preserve"> of the statute</w:t>
      </w:r>
      <w:r w:rsidR="0040263D">
        <w:t xml:space="preserve">. </w:t>
      </w:r>
      <w:r w:rsidR="00AA624C">
        <w:t>Alternatively</w:t>
      </w:r>
      <w:r w:rsidR="0040263D">
        <w:t xml:space="preserve">, the </w:t>
      </w:r>
      <w:r w:rsidR="007C725C">
        <w:t xml:space="preserve">Court may draw </w:t>
      </w:r>
      <w:r w:rsidR="0040263D">
        <w:t xml:space="preserve">the conclusion that Congress’ </w:t>
      </w:r>
      <w:r w:rsidR="007C725C">
        <w:t xml:space="preserve">failure to include an explicit timing requirement for the written requirement was a conscious choice by the drafters in order to leave the decision to the courts to resolve. </w:t>
      </w:r>
      <w:r w:rsidR="007C725C">
        <w:rPr>
          <w:i/>
        </w:rPr>
        <w:t>See, e.g., Landgraf v. USI Film Products</w:t>
      </w:r>
      <w:r w:rsidR="007C725C">
        <w:t xml:space="preserve">, 511 U.S. 244, 263 (1994). </w:t>
      </w:r>
      <w:r w:rsidR="00AA624C">
        <w:t>Given that the Copyright Act represented</w:t>
      </w:r>
      <w:r w:rsidR="007C725C">
        <w:t xml:space="preserve"> “a carefully balanced compromise,” </w:t>
      </w:r>
      <w:r w:rsidR="00AA624C">
        <w:t>it is plausible that</w:t>
      </w:r>
      <w:r w:rsidR="007C725C">
        <w:t xml:space="preserve"> concrete decisions for each compromise w</w:t>
      </w:r>
      <w:r w:rsidR="00AA624C">
        <w:t xml:space="preserve">ere </w:t>
      </w:r>
      <w:r w:rsidR="007C725C">
        <w:t xml:space="preserve">difficult to strike by opposing interests groups. H.R. Rep. No. 1476, 94th Cong., 2d Sess. 121 (1976). </w:t>
      </w:r>
    </w:p>
    <w:p w14:paraId="2FA1C86A" w14:textId="77777777" w:rsidR="00D05171" w:rsidRPr="00D05171" w:rsidRDefault="007C725C" w:rsidP="00C51AA1">
      <w:pPr>
        <w:tabs>
          <w:tab w:val="left" w:pos="720"/>
        </w:tabs>
        <w:spacing w:line="480" w:lineRule="auto"/>
      </w:pPr>
      <w:r>
        <w:tab/>
      </w:r>
      <w:r w:rsidR="00623F16">
        <w:t xml:space="preserve">Circuit </w:t>
      </w:r>
      <w:r w:rsidR="008E2E56">
        <w:t>courts are split on the interpretation of the writing requirement for a work made for hire agreement</w:t>
      </w:r>
      <w:r w:rsidR="00932499">
        <w:t xml:space="preserve"> under 17 U.S.C. § 101(2)</w:t>
      </w:r>
      <w:r w:rsidR="008E2E56">
        <w:t>.</w:t>
      </w:r>
      <w:r w:rsidR="00D6725B">
        <w:t xml:space="preserve"> </w:t>
      </w:r>
      <w:r w:rsidR="00D6725B">
        <w:rPr>
          <w:i/>
        </w:rPr>
        <w:t>Compaq Computer Corp. v. Ergonome Inc.</w:t>
      </w:r>
      <w:r w:rsidR="00D6725B" w:rsidRPr="00810C09">
        <w:rPr>
          <w:i/>
        </w:rPr>
        <w:t>,</w:t>
      </w:r>
      <w:r w:rsidR="00D6725B">
        <w:rPr>
          <w:i/>
        </w:rPr>
        <w:t xml:space="preserve"> </w:t>
      </w:r>
      <w:r w:rsidR="00D6725B">
        <w:t>210 F. Supp.2d 839</w:t>
      </w:r>
      <w:r w:rsidR="0001220F">
        <w:t>, 842</w:t>
      </w:r>
      <w:r w:rsidR="00D6725B">
        <w:t xml:space="preserve"> (</w:t>
      </w:r>
      <w:r w:rsidR="0001220F">
        <w:t>S.D. Tex.</w:t>
      </w:r>
      <w:r w:rsidR="0040263D">
        <w:t xml:space="preserve"> </w:t>
      </w:r>
      <w:r w:rsidR="00D6725B">
        <w:t xml:space="preserve">2001). </w:t>
      </w:r>
      <w:r w:rsidR="00D05171">
        <w:t xml:space="preserve">The Second Circuit has taken a persuasive stance, holding that “the writing requirement of § 101(2) can be met by a writing executed after the work is created, if the writing confirms a prior agreement, either explicit or implicit, made before the creation of the work.” </w:t>
      </w:r>
      <w:r w:rsidR="0001220F">
        <w:rPr>
          <w:i/>
        </w:rPr>
        <w:t>Playboy Enters.,</w:t>
      </w:r>
      <w:r w:rsidR="00D05171">
        <w:rPr>
          <w:i/>
        </w:rPr>
        <w:t xml:space="preserve"> Inc. v. Dumas, </w:t>
      </w:r>
      <w:r w:rsidR="00D05171">
        <w:t>53 F.3d 549</w:t>
      </w:r>
      <w:r w:rsidR="0040263D">
        <w:t>, 559</w:t>
      </w:r>
      <w:r w:rsidR="00D05171">
        <w:t xml:space="preserve"> (</w:t>
      </w:r>
      <w:r w:rsidR="0040263D">
        <w:t>2</w:t>
      </w:r>
      <w:r w:rsidR="0040263D" w:rsidRPr="0040263D">
        <w:t>nd</w:t>
      </w:r>
      <w:r w:rsidR="0040263D">
        <w:t xml:space="preserve"> Cir. </w:t>
      </w:r>
      <w:r w:rsidR="00D05171">
        <w:t xml:space="preserve">1995). In </w:t>
      </w:r>
      <w:r w:rsidR="00A35CFC">
        <w:rPr>
          <w:i/>
        </w:rPr>
        <w:t>Dumas</w:t>
      </w:r>
      <w:r w:rsidR="00D05171">
        <w:t xml:space="preserve">, works created at the discretion of the artist were provided to Playboy and the artist was </w:t>
      </w:r>
      <w:r w:rsidR="00D05171">
        <w:lastRenderedPageBreak/>
        <w:t xml:space="preserve">compensated with checks that acknowledged the work made for hire agreement in the legend. </w:t>
      </w:r>
      <w:r w:rsidR="00932499">
        <w:rPr>
          <w:i/>
        </w:rPr>
        <w:t xml:space="preserve">Id </w:t>
      </w:r>
      <w:r w:rsidR="00932499">
        <w:t xml:space="preserve">at 552. </w:t>
      </w:r>
      <w:r w:rsidR="00D05171">
        <w:t xml:space="preserve">It was the existence </w:t>
      </w:r>
      <w:r w:rsidR="00890F2D">
        <w:t xml:space="preserve">of </w:t>
      </w:r>
      <w:r w:rsidR="00D05171">
        <w:t xml:space="preserve">an implicit agreement apparent in the parties course of dealings, combined with the subsequent written agreement, that provided sufficient evidence for the </w:t>
      </w:r>
      <w:r w:rsidR="00C51AA1">
        <w:t>artwork to qualify under § 101(2).</w:t>
      </w:r>
      <w:r w:rsidR="00C50B5A">
        <w:t xml:space="preserve"> </w:t>
      </w:r>
      <w:r w:rsidR="00C50B5A">
        <w:rPr>
          <w:i/>
        </w:rPr>
        <w:t xml:space="preserve">Id </w:t>
      </w:r>
      <w:r w:rsidR="00C50B5A">
        <w:t xml:space="preserve">at 559. </w:t>
      </w:r>
      <w:r w:rsidR="00E024CD">
        <w:t xml:space="preserve">Here, </w:t>
      </w:r>
      <w:r w:rsidR="00C51AA1">
        <w:t xml:space="preserve">OGS and Lime had an oral agreement prior to the creation of the screenplay, which was confirmed in a subsequent written document. Using the approach pronounced in </w:t>
      </w:r>
      <w:r w:rsidR="00A35CFC">
        <w:rPr>
          <w:i/>
        </w:rPr>
        <w:t>Dumas</w:t>
      </w:r>
      <w:r w:rsidR="00C51AA1">
        <w:t xml:space="preserve">, the parties’ explicit prior agreement followed by the </w:t>
      </w:r>
      <w:r w:rsidR="00E024CD">
        <w:t>post-creation written agreement</w:t>
      </w:r>
      <w:r w:rsidR="00C51AA1">
        <w:t xml:space="preserve"> meets the </w:t>
      </w:r>
      <w:r w:rsidR="0056105C">
        <w:t xml:space="preserve">writing requirement of the Act. </w:t>
      </w:r>
    </w:p>
    <w:p w14:paraId="6C924C38" w14:textId="77777777" w:rsidR="00102589" w:rsidRPr="00102589" w:rsidRDefault="00E024CD" w:rsidP="002A77B9">
      <w:pPr>
        <w:tabs>
          <w:tab w:val="left" w:pos="720"/>
        </w:tabs>
        <w:spacing w:line="480" w:lineRule="auto"/>
      </w:pPr>
      <w:r>
        <w:tab/>
        <w:t>The</w:t>
      </w:r>
      <w:r w:rsidR="00D05171">
        <w:t xml:space="preserve"> Fifth Circuit</w:t>
      </w:r>
      <w:r>
        <w:t xml:space="preserve"> </w:t>
      </w:r>
      <w:r w:rsidR="00D05171">
        <w:t xml:space="preserve">later adopted the logic pronounced in </w:t>
      </w:r>
      <w:r w:rsidR="00A35CFC">
        <w:rPr>
          <w:i/>
        </w:rPr>
        <w:t>Dumas</w:t>
      </w:r>
      <w:r w:rsidR="00D05171">
        <w:t xml:space="preserve">, citing that Circuits have “deemed the Second Circuit to be “the </w:t>
      </w:r>
      <w:r w:rsidR="00D05171" w:rsidRPr="00D05171">
        <w:rPr>
          <w:i/>
        </w:rPr>
        <w:t xml:space="preserve">de facto </w:t>
      </w:r>
      <w:r w:rsidR="00D05171">
        <w:t xml:space="preserve">Copyright Court of the United States.” </w:t>
      </w:r>
      <w:r w:rsidR="0001220F" w:rsidRPr="0001220F">
        <w:rPr>
          <w:i/>
        </w:rPr>
        <w:t>Compaq</w:t>
      </w:r>
      <w:r w:rsidR="0001220F">
        <w:t xml:space="preserve">, 210 F. Supp.2d at </w:t>
      </w:r>
      <w:r w:rsidR="00FA7606">
        <w:t>843</w:t>
      </w:r>
      <w:r w:rsidR="0001220F">
        <w:t xml:space="preserve"> </w:t>
      </w:r>
      <w:r w:rsidR="00C50B5A">
        <w:t>(c</w:t>
      </w:r>
      <w:r w:rsidR="00D05171">
        <w:t xml:space="preserve">iting </w:t>
      </w:r>
      <w:r w:rsidR="00D05171" w:rsidRPr="00D05171">
        <w:rPr>
          <w:i/>
        </w:rPr>
        <w:t>Easter Seal Soc. For Crippled Chi</w:t>
      </w:r>
      <w:r w:rsidR="0040263D">
        <w:rPr>
          <w:i/>
        </w:rPr>
        <w:t>ldren and Adults of La., Inc. v. Playboy Enters</w:t>
      </w:r>
      <w:r w:rsidR="00D05171" w:rsidRPr="00D05171">
        <w:rPr>
          <w:i/>
        </w:rPr>
        <w:t xml:space="preserve">., </w:t>
      </w:r>
      <w:r w:rsidR="00D05171">
        <w:t>815 F.2d 323, 325 (5</w:t>
      </w:r>
      <w:r w:rsidR="00D05171" w:rsidRPr="00D05171">
        <w:rPr>
          <w:vertAlign w:val="superscript"/>
        </w:rPr>
        <w:t>th</w:t>
      </w:r>
      <w:r w:rsidR="00D05171">
        <w:t xml:space="preserve"> Cir. 19</w:t>
      </w:r>
      <w:r w:rsidR="00C50B5A">
        <w:t xml:space="preserve">87)). The Court </w:t>
      </w:r>
      <w:r>
        <w:t>adopted</w:t>
      </w:r>
      <w:r w:rsidR="00C50B5A">
        <w:t xml:space="preserve"> the holding in </w:t>
      </w:r>
      <w:r w:rsidR="00A35CFC">
        <w:rPr>
          <w:i/>
        </w:rPr>
        <w:t>Dumas</w:t>
      </w:r>
      <w:r w:rsidR="00D05171">
        <w:t xml:space="preserve">, as it allows for “flexible, case-by-case inquiry into the existence of a work-for-hire agreement.” </w:t>
      </w:r>
      <w:r w:rsidR="00A35CFC">
        <w:rPr>
          <w:i/>
        </w:rPr>
        <w:t>Id</w:t>
      </w:r>
      <w:r w:rsidR="00A35CFC">
        <w:t>.</w:t>
      </w:r>
      <w:r w:rsidR="00C50B5A">
        <w:t xml:space="preserve"> </w:t>
      </w:r>
      <w:r w:rsidR="002A77B9">
        <w:t xml:space="preserve">The Court further </w:t>
      </w:r>
      <w:r w:rsidR="00C50B5A">
        <w:t>confirmed the</w:t>
      </w:r>
      <w:r w:rsidR="00A35CFC">
        <w:t xml:space="preserve"> “overriding questions</w:t>
      </w:r>
      <w:r w:rsidR="002A77B9">
        <w:t>”</w:t>
      </w:r>
      <w:r w:rsidR="00A35CFC">
        <w:t xml:space="preserve"> test</w:t>
      </w:r>
      <w:r w:rsidR="002A77B9">
        <w:t xml:space="preserve"> originally outlined in </w:t>
      </w:r>
      <w:r w:rsidR="00A35CFC">
        <w:rPr>
          <w:i/>
        </w:rPr>
        <w:t>Dumas</w:t>
      </w:r>
      <w:r w:rsidR="00102589">
        <w:t>:</w:t>
      </w:r>
    </w:p>
    <w:p w14:paraId="4382E5A6" w14:textId="77777777" w:rsidR="00102589" w:rsidRPr="00102589" w:rsidRDefault="002A77B9" w:rsidP="00102589">
      <w:pPr>
        <w:pStyle w:val="ListParagraph"/>
        <w:numPr>
          <w:ilvl w:val="0"/>
          <w:numId w:val="3"/>
        </w:numPr>
        <w:tabs>
          <w:tab w:val="left" w:pos="720"/>
        </w:tabs>
        <w:rPr>
          <w:i/>
        </w:rPr>
      </w:pPr>
      <w:r>
        <w:t xml:space="preserve">Whether the language of the agreement was sufficient to meet the </w:t>
      </w:r>
      <w:r w:rsidR="00102589">
        <w:t>writing requirement of §</w:t>
      </w:r>
      <w:r w:rsidR="00FA7606">
        <w:t xml:space="preserve"> </w:t>
      </w:r>
      <w:r w:rsidR="00102589">
        <w:t>101 (2).</w:t>
      </w:r>
    </w:p>
    <w:p w14:paraId="0FB0DAF6" w14:textId="77777777" w:rsidR="00102589" w:rsidRPr="00102589" w:rsidRDefault="002A77B9" w:rsidP="00102589">
      <w:pPr>
        <w:pStyle w:val="ListParagraph"/>
        <w:numPr>
          <w:ilvl w:val="0"/>
          <w:numId w:val="3"/>
        </w:numPr>
        <w:tabs>
          <w:tab w:val="left" w:pos="720"/>
        </w:tabs>
        <w:rPr>
          <w:i/>
        </w:rPr>
      </w:pPr>
      <w:r>
        <w:t>If so, whether both parties understood at the time of creation that the works were made for hire.</w:t>
      </w:r>
    </w:p>
    <w:p w14:paraId="0ECCD80D" w14:textId="77777777" w:rsidR="00D05171" w:rsidRPr="00C50B5A" w:rsidRDefault="002A77B9" w:rsidP="00C50B5A">
      <w:pPr>
        <w:pStyle w:val="ListParagraph"/>
        <w:numPr>
          <w:ilvl w:val="0"/>
          <w:numId w:val="3"/>
        </w:numPr>
        <w:tabs>
          <w:tab w:val="left" w:pos="720"/>
        </w:tabs>
        <w:spacing w:after="240"/>
        <w:rPr>
          <w:i/>
        </w:rPr>
      </w:pPr>
      <w:r>
        <w:t>Whether the agreement was signed by both parties or by their authorized agents.</w:t>
      </w:r>
    </w:p>
    <w:p w14:paraId="6389258A" w14:textId="77777777" w:rsidR="00D6725B" w:rsidRPr="00D6725B" w:rsidRDefault="00C50B5A" w:rsidP="0056105C">
      <w:pPr>
        <w:tabs>
          <w:tab w:val="left" w:pos="720"/>
        </w:tabs>
        <w:spacing w:line="480" w:lineRule="auto"/>
      </w:pPr>
      <w:r>
        <w:rPr>
          <w:i/>
        </w:rPr>
        <w:t>I</w:t>
      </w:r>
      <w:r w:rsidR="00A35CFC">
        <w:rPr>
          <w:i/>
        </w:rPr>
        <w:t>d</w:t>
      </w:r>
      <w:r w:rsidR="00A35CFC">
        <w:t xml:space="preserve">, (citing </w:t>
      </w:r>
      <w:r w:rsidR="00A35CFC">
        <w:rPr>
          <w:i/>
        </w:rPr>
        <w:t>Dumas</w:t>
      </w:r>
      <w:r w:rsidR="00A35CFC">
        <w:t>, 53 F.3d at 559)</w:t>
      </w:r>
      <w:r>
        <w:rPr>
          <w:i/>
        </w:rPr>
        <w:t xml:space="preserve">. </w:t>
      </w:r>
      <w:r>
        <w:t xml:space="preserve">This </w:t>
      </w:r>
      <w:r w:rsidR="00A35CFC">
        <w:t>test</w:t>
      </w:r>
      <w:r>
        <w:t xml:space="preserve"> allows for a flexible, case-by-case analysis to ensure the proper party is given the copyrights. </w:t>
      </w:r>
      <w:r w:rsidR="003E6E2B">
        <w:t>Applying this test to the present facts, all of the elements are met:</w:t>
      </w:r>
      <w:r w:rsidR="00890F2D">
        <w:t xml:space="preserve"> (1) The language of the written agreement was sufficient, as it </w:t>
      </w:r>
      <w:r w:rsidR="00A35CFC">
        <w:t>indicated “express agreement…that the work shall be considered a work made for hire,”</w:t>
      </w:r>
      <w:r w:rsidR="00890F2D">
        <w:t xml:space="preserve"> (2) both parties understood prior to the time of creation, based on their oral agreement, that the work was to be made for hire, and (3) the agreement was signed by both OGS and Lime. </w:t>
      </w:r>
      <w:r w:rsidR="000B0CF0">
        <w:t xml:space="preserve">17 U.S.C. § 101(2). </w:t>
      </w:r>
    </w:p>
    <w:p w14:paraId="1F720F87" w14:textId="77777777" w:rsidR="00102589" w:rsidRDefault="000B0CF0" w:rsidP="006424E8">
      <w:pPr>
        <w:tabs>
          <w:tab w:val="left" w:pos="720"/>
        </w:tabs>
        <w:spacing w:line="480" w:lineRule="auto"/>
      </w:pPr>
      <w:r>
        <w:tab/>
        <w:t>An opposing, but distinguishable, case has been cited by Defendants. I</w:t>
      </w:r>
      <w:r w:rsidR="00D6725B">
        <w:t xml:space="preserve">n </w:t>
      </w:r>
      <w:r w:rsidR="00D6725B">
        <w:rPr>
          <w:i/>
        </w:rPr>
        <w:t>Schiller &amp; Shmidt, Inc. v. Nordisco Corp.</w:t>
      </w:r>
      <w:r w:rsidR="00D6725B">
        <w:t xml:space="preserve">, the Seventh Circuit held that the parties must sign the work for </w:t>
      </w:r>
      <w:r w:rsidR="00D6725B">
        <w:lastRenderedPageBreak/>
        <w:t xml:space="preserve">hire agreement </w:t>
      </w:r>
      <w:r w:rsidR="00D6725B">
        <w:rPr>
          <w:i/>
        </w:rPr>
        <w:t xml:space="preserve">before </w:t>
      </w:r>
      <w:r w:rsidR="00D6725B">
        <w:t>the copyrighted work is created for the agreement to be valid</w:t>
      </w:r>
      <w:r w:rsidR="0056105C">
        <w:t>. 969 F.2d 410, 413 (</w:t>
      </w:r>
      <w:r>
        <w:t>7</w:t>
      </w:r>
      <w:r w:rsidRPr="000B0CF0">
        <w:t>th</w:t>
      </w:r>
      <w:r>
        <w:t xml:space="preserve"> </w:t>
      </w:r>
      <w:r w:rsidR="0056105C">
        <w:t xml:space="preserve">Cir.1992). “The writing must precede the creation of the property in order to serve its purpose of identifying the (noncreator) owner unequivocally.” </w:t>
      </w:r>
      <w:r w:rsidR="0056105C">
        <w:rPr>
          <w:i/>
        </w:rPr>
        <w:t xml:space="preserve">Id. </w:t>
      </w:r>
      <w:r>
        <w:rPr>
          <w:i/>
        </w:rPr>
        <w:t>Schiller</w:t>
      </w:r>
      <w:r w:rsidR="0056105C">
        <w:t xml:space="preserve">, however, </w:t>
      </w:r>
      <w:r w:rsidR="00AA624C">
        <w:t xml:space="preserve">is </w:t>
      </w:r>
      <w:r w:rsidR="0056105C">
        <w:t>easily distinguished from those</w:t>
      </w:r>
      <w:r w:rsidR="00AA624C">
        <w:t xml:space="preserve"> cases</w:t>
      </w:r>
      <w:r w:rsidR="0056105C">
        <w:t xml:space="preserve"> decided in the Second Circuit. </w:t>
      </w:r>
      <w:r w:rsidR="00D6725B">
        <w:t xml:space="preserve">In </w:t>
      </w:r>
      <w:r w:rsidR="00D6725B">
        <w:rPr>
          <w:i/>
        </w:rPr>
        <w:t>Schiller</w:t>
      </w:r>
      <w:r w:rsidR="00D6725B">
        <w:t xml:space="preserve">, </w:t>
      </w:r>
      <w:r w:rsidR="00A64733">
        <w:t xml:space="preserve">there was no pre-creation agreement regarding the status of the work as made for hire, and </w:t>
      </w:r>
      <w:r w:rsidR="00D6725B">
        <w:t>the creator of the work in dispute did not sign the work made for hire agreement until nine years</w:t>
      </w:r>
      <w:r w:rsidR="00A64733">
        <w:t xml:space="preserve"> after the creation of the work, </w:t>
      </w:r>
      <w:r w:rsidR="00D6725B">
        <w:t xml:space="preserve">after litigation had commenced. </w:t>
      </w:r>
      <w:r w:rsidR="00AA624C" w:rsidRPr="00AA624C">
        <w:rPr>
          <w:i/>
        </w:rPr>
        <w:t>Id</w:t>
      </w:r>
      <w:r w:rsidR="00A64733">
        <w:t xml:space="preserve">. </w:t>
      </w:r>
      <w:r w:rsidR="00AA624C">
        <w:t>Furthermore, u</w:t>
      </w:r>
      <w:r w:rsidR="006424E8" w:rsidRPr="00AA624C">
        <w:t>nequivocal</w:t>
      </w:r>
      <w:r w:rsidR="006424E8">
        <w:t xml:space="preserve"> identification</w:t>
      </w:r>
      <w:r w:rsidR="00AA624C">
        <w:t xml:space="preserve"> of the owner</w:t>
      </w:r>
      <w:r w:rsidR="00A64733">
        <w:t>, as the C</w:t>
      </w:r>
      <w:r w:rsidR="00AA624C">
        <w:t>ourt sought to achieve,</w:t>
      </w:r>
      <w:r w:rsidR="006424E8">
        <w:t xml:space="preserve"> can be served by prior agreement and written agreement that occurs simultaneously with completion of th</w:t>
      </w:r>
      <w:r w:rsidR="00AA624C">
        <w:t xml:space="preserve">e work, as occurred between Lime and OGS. </w:t>
      </w:r>
      <w:r w:rsidR="0056105C">
        <w:t xml:space="preserve"> </w:t>
      </w:r>
    </w:p>
    <w:p w14:paraId="75CA7333" w14:textId="77777777" w:rsidR="00A27CDA" w:rsidRDefault="00A27CDA" w:rsidP="006424E8">
      <w:pPr>
        <w:tabs>
          <w:tab w:val="left" w:pos="720"/>
        </w:tabs>
        <w:spacing w:line="480" w:lineRule="auto"/>
      </w:pPr>
      <w:r>
        <w:tab/>
        <w:t xml:space="preserve">While this is a case of first impression in Moot, the cited authorities from the Fifth and Second circuits provide persuasive authority for a more flexible, judicially developed test for the written requirement which satisfies the plain meaning of the statute, but provides further protection to ensure the parties were in agreement prior to creation of the work. This judicial compromise weighs strongly in favor of dismissing Defendants’ Motion, as Plaintiff’s complaint alleges sufficient factual allegations to support a claim under this test. </w:t>
      </w:r>
    </w:p>
    <w:p w14:paraId="72B25E77" w14:textId="77777777" w:rsidR="0012338F" w:rsidRDefault="0012338F" w:rsidP="002F74A1">
      <w:pPr>
        <w:pStyle w:val="ListParagraph"/>
        <w:numPr>
          <w:ilvl w:val="1"/>
          <w:numId w:val="1"/>
        </w:numPr>
        <w:tabs>
          <w:tab w:val="left" w:pos="720"/>
        </w:tabs>
        <w:spacing w:after="240"/>
        <w:rPr>
          <w:b/>
        </w:rPr>
      </w:pPr>
      <w:r>
        <w:rPr>
          <w:b/>
        </w:rPr>
        <w:t>Policy Concerns Related to the Initial</w:t>
      </w:r>
      <w:r w:rsidR="000B0CF0">
        <w:rPr>
          <w:b/>
        </w:rPr>
        <w:t xml:space="preserve"> Purpose of this Statute Weigh</w:t>
      </w:r>
      <w:r>
        <w:rPr>
          <w:b/>
        </w:rPr>
        <w:t xml:space="preserve"> in Favor of </w:t>
      </w:r>
      <w:r w:rsidR="000B0CF0">
        <w:rPr>
          <w:b/>
        </w:rPr>
        <w:t>the Plain Meaning and Denial of</w:t>
      </w:r>
      <w:r>
        <w:rPr>
          <w:b/>
        </w:rPr>
        <w:t xml:space="preserve"> the Motion</w:t>
      </w:r>
      <w:r w:rsidR="000B0CF0">
        <w:rPr>
          <w:b/>
        </w:rPr>
        <w:t xml:space="preserve"> to Dismiss</w:t>
      </w:r>
      <w:r>
        <w:rPr>
          <w:b/>
        </w:rPr>
        <w:t xml:space="preserve">. </w:t>
      </w:r>
    </w:p>
    <w:p w14:paraId="3FDEEDA5" w14:textId="77777777" w:rsidR="00E50546" w:rsidRDefault="00E50546" w:rsidP="0021717B">
      <w:pPr>
        <w:tabs>
          <w:tab w:val="left" w:pos="720"/>
        </w:tabs>
        <w:spacing w:line="480" w:lineRule="auto"/>
      </w:pPr>
      <w:r>
        <w:tab/>
        <w:t xml:space="preserve">Defendant’s proposed interpretation of the statute goes against not only the plain meaning, but also against several important policy concerns. </w:t>
      </w:r>
      <w:r w:rsidR="003A0D91">
        <w:t xml:space="preserve">As stated by Carloyn Salzmann: </w:t>
      </w:r>
    </w:p>
    <w:p w14:paraId="664FBADD" w14:textId="77777777" w:rsidR="00E50546" w:rsidRPr="00E50546" w:rsidRDefault="00E50546" w:rsidP="0021717B">
      <w:pPr>
        <w:tabs>
          <w:tab w:val="left" w:pos="720"/>
        </w:tabs>
        <w:spacing w:after="240"/>
        <w:ind w:left="720"/>
        <w:rPr>
          <w:i/>
        </w:rPr>
      </w:pPr>
      <w:r>
        <w:t xml:space="preserve">For contracting parties that agree in advance that a work is to be classified as a work for hire, but for whatever reason fail to reduce this to writing until after the work is created, a bright line rule would cause a great deal of frustration. This is also true for parties that through their course of dealing have an implicit understanding that all works created by the author will be considered works for hire for copyright purposes. Additionally, trade custom and usage in a particular geographic area may cause a post-creation writing to be the norm. It seems unfair in these circumstances to penalize parties that have clear intentions. This would interfere with their freedom to contract. </w:t>
      </w:r>
    </w:p>
    <w:p w14:paraId="1BC0AE04" w14:textId="77777777" w:rsidR="00EB4C5A" w:rsidRPr="00E50546" w:rsidRDefault="00E50546" w:rsidP="0021717B">
      <w:pPr>
        <w:tabs>
          <w:tab w:val="left" w:pos="720"/>
        </w:tabs>
        <w:spacing w:line="480" w:lineRule="auto"/>
      </w:pPr>
      <w:r>
        <w:t xml:space="preserve">Carolyn M. Salzmann, </w:t>
      </w:r>
      <w:r w:rsidR="00EB4C5A" w:rsidRPr="0021717B">
        <w:rPr>
          <w:i/>
        </w:rPr>
        <w:t>You Commissioned It, You Bought It, But Do You Own It?</w:t>
      </w:r>
      <w:r w:rsidR="0021717B">
        <w:rPr>
          <w:i/>
        </w:rPr>
        <w:t xml:space="preserve"> The Work for </w:t>
      </w:r>
      <w:r w:rsidR="0021717B">
        <w:rPr>
          <w:i/>
        </w:rPr>
        <w:lastRenderedPageBreak/>
        <w:t>Hire: Why is Something So Simple, So Complicated?</w:t>
      </w:r>
      <w:r w:rsidR="0021717B">
        <w:t>, 31 U. Tol. L. Rev. 497,</w:t>
      </w:r>
      <w:r w:rsidR="00EB4C5A" w:rsidRPr="00E50546">
        <w:rPr>
          <w:i/>
        </w:rPr>
        <w:t xml:space="preserve"> </w:t>
      </w:r>
      <w:r>
        <w:t>519</w:t>
      </w:r>
      <w:r w:rsidR="0021717B">
        <w:t xml:space="preserve"> (2000)</w:t>
      </w:r>
      <w:r w:rsidR="00E61F8A">
        <w:t>(citations omitted)</w:t>
      </w:r>
      <w:r>
        <w:t xml:space="preserve">. </w:t>
      </w:r>
      <w:r w:rsidR="003A0D91">
        <w:t>In addition, fundamental notions of fairness related t</w:t>
      </w:r>
      <w:r w:rsidR="009D5649">
        <w:t>o notice of the law require adherence to the plain meaning</w:t>
      </w:r>
      <w:r w:rsidR="003A0D91">
        <w:t xml:space="preserve">. </w:t>
      </w:r>
      <w:r w:rsidR="009D5649">
        <w:t>Given that the statute is silent on timing, a</w:t>
      </w:r>
      <w:r w:rsidR="003A0D91">
        <w:t xml:space="preserve"> commissioning party that reads the stat</w:t>
      </w:r>
      <w:r w:rsidR="009D5649">
        <w:t>ute would not have adequate</w:t>
      </w:r>
      <w:r w:rsidR="003A0D91">
        <w:t xml:space="preserve"> notice of </w:t>
      </w:r>
      <w:r w:rsidR="009D5649">
        <w:t>the requirement that the</w:t>
      </w:r>
      <w:r w:rsidR="003A0D91">
        <w:t xml:space="preserve"> written instrument be executed pr</w:t>
      </w:r>
      <w:r w:rsidR="009D5649">
        <w:t>ior to the creation of the work.</w:t>
      </w:r>
      <w:r w:rsidR="003A0D91">
        <w:t xml:space="preserve"> </w:t>
      </w:r>
      <w:r w:rsidR="00A27CDA">
        <w:t>Public policy,</w:t>
      </w:r>
      <w:r w:rsidR="009D5649">
        <w:t xml:space="preserve"> freedom to contract, and notions of fairness</w:t>
      </w:r>
      <w:r w:rsidR="00A27CDA">
        <w:t xml:space="preserve"> </w:t>
      </w:r>
      <w:r w:rsidR="009D5649">
        <w:t>support</w:t>
      </w:r>
      <w:r w:rsidR="00A27CDA">
        <w:t xml:space="preserve"> the plain meaning of the statute and dismissal of Defendant’s Motion. </w:t>
      </w:r>
    </w:p>
    <w:p w14:paraId="49E0A159" w14:textId="77777777" w:rsidR="0012338F" w:rsidRPr="006A3222" w:rsidRDefault="00B9372D" w:rsidP="00B9372D">
      <w:pPr>
        <w:widowControl/>
        <w:spacing w:after="240"/>
        <w:jc w:val="center"/>
        <w:rPr>
          <w:b/>
          <w:u w:val="single"/>
        </w:rPr>
      </w:pPr>
      <w:r>
        <w:rPr>
          <w:b/>
          <w:u w:val="single"/>
        </w:rPr>
        <w:t>C</w:t>
      </w:r>
      <w:r w:rsidR="006A3222">
        <w:rPr>
          <w:b/>
          <w:u w:val="single"/>
        </w:rPr>
        <w:t>ONCLUSION</w:t>
      </w:r>
    </w:p>
    <w:p w14:paraId="499AC1A0" w14:textId="77777777" w:rsidR="003A0D91" w:rsidRDefault="0012338F" w:rsidP="0021717B">
      <w:pPr>
        <w:spacing w:line="480" w:lineRule="auto"/>
      </w:pPr>
      <w:r>
        <w:t xml:space="preserve"> </w:t>
      </w:r>
      <w:r w:rsidR="0021717B">
        <w:tab/>
        <w:t>OGS and Lime entered a valid work for hire agreement under § 101</w:t>
      </w:r>
      <w:r w:rsidR="00FA7606">
        <w:t>(2) of the Copyright Act</w:t>
      </w:r>
      <w:r w:rsidR="0021717B">
        <w:t>. The statute’s plain meaning</w:t>
      </w:r>
      <w:r w:rsidR="009D5649">
        <w:t>, supported by legislative history and the canons of construction,</w:t>
      </w:r>
      <w:r w:rsidR="0021717B">
        <w:t xml:space="preserve"> </w:t>
      </w:r>
      <w:r w:rsidR="009D5649">
        <w:t>acknowledges</w:t>
      </w:r>
      <w:r w:rsidR="0021717B">
        <w:t xml:space="preserve"> that </w:t>
      </w:r>
      <w:r w:rsidR="004E6419">
        <w:t>the</w:t>
      </w:r>
      <w:r w:rsidR="009D5649">
        <w:t xml:space="preserve"> timing of the</w:t>
      </w:r>
      <w:r w:rsidR="004E6419">
        <w:t xml:space="preserve"> written instrument </w:t>
      </w:r>
      <w:r w:rsidR="009D5649">
        <w:t>is irrelevant</w:t>
      </w:r>
      <w:r w:rsidR="0021717B">
        <w:t xml:space="preserve">. </w:t>
      </w:r>
      <w:r w:rsidR="009D5649">
        <w:t xml:space="preserve">Alternatively, case law </w:t>
      </w:r>
      <w:r w:rsidR="0021717B">
        <w:t>calls for limited additional requirements</w:t>
      </w:r>
      <w:r w:rsidR="009D5649">
        <w:t xml:space="preserve"> beyond the plain meaning; an agreement</w:t>
      </w:r>
      <w:r w:rsidR="0021717B">
        <w:t xml:space="preserve"> made prior to the execution of the wor</w:t>
      </w:r>
      <w:r w:rsidR="009D5649">
        <w:t>k, with a</w:t>
      </w:r>
      <w:r w:rsidR="0021717B">
        <w:t xml:space="preserve"> </w:t>
      </w:r>
      <w:r w:rsidR="000B0CF0">
        <w:t>form</w:t>
      </w:r>
      <w:r w:rsidR="009D5649">
        <w:t>al,</w:t>
      </w:r>
      <w:r w:rsidR="000B0CF0">
        <w:t xml:space="preserve"> </w:t>
      </w:r>
      <w:r w:rsidR="0021717B">
        <w:t xml:space="preserve">written agreement signed subsequent to creation. </w:t>
      </w:r>
      <w:r w:rsidR="00D51608">
        <w:t xml:space="preserve">Under either analysis, the </w:t>
      </w:r>
      <w:r w:rsidR="000B0CF0">
        <w:t>OGS</w:t>
      </w:r>
      <w:r w:rsidR="00D51608">
        <w:t>-</w:t>
      </w:r>
      <w:r w:rsidR="0021717B">
        <w:t xml:space="preserve">Lime </w:t>
      </w:r>
      <w:r w:rsidR="00D51608">
        <w:t xml:space="preserve">oral and written agreement provides sufficient allegations of copyright ownership to support the copyright infringement claims. </w:t>
      </w:r>
      <w:r w:rsidR="0021717B">
        <w:t>To rule that this was not a valid work for hire agreement would be to go against the parties</w:t>
      </w:r>
      <w:r w:rsidR="00AB3BF7">
        <w:t>’</w:t>
      </w:r>
      <w:r w:rsidR="0021717B">
        <w:t xml:space="preserve"> intentions, </w:t>
      </w:r>
      <w:r w:rsidR="009D5649">
        <w:t>the plain meaning,</w:t>
      </w:r>
      <w:r w:rsidR="0021717B">
        <w:t xml:space="preserve"> and common understandings of fair dealing. </w:t>
      </w:r>
      <w:r w:rsidR="00D51608">
        <w:t>Plaintiff</w:t>
      </w:r>
      <w:r w:rsidR="00476F97">
        <w:t xml:space="preserve"> therefore</w:t>
      </w:r>
      <w:r w:rsidR="00D51608">
        <w:t xml:space="preserve"> request</w:t>
      </w:r>
      <w:r w:rsidR="00476F97">
        <w:t>s</w:t>
      </w:r>
      <w:r w:rsidR="00D51608">
        <w:t xml:space="preserve"> that Defendants’ Motion to Dismiss be denied. </w:t>
      </w:r>
    </w:p>
    <w:p w14:paraId="5102FF59" w14:textId="77777777" w:rsidR="0021717B" w:rsidRDefault="00D51608" w:rsidP="0021717B">
      <w:pPr>
        <w:spacing w:line="480" w:lineRule="auto"/>
      </w:pPr>
      <w:r>
        <w:t>Date: March 22, 2012</w:t>
      </w:r>
      <w:r w:rsidR="0021717B">
        <w:tab/>
      </w:r>
      <w:r w:rsidR="0021717B">
        <w:tab/>
      </w:r>
      <w:r w:rsidR="0021717B">
        <w:tab/>
      </w:r>
      <w:r w:rsidR="0021717B">
        <w:tab/>
      </w:r>
      <w:r w:rsidR="0021717B">
        <w:tab/>
        <w:t>Respectfully Submitted,</w:t>
      </w:r>
    </w:p>
    <w:p w14:paraId="7B0AEC92" w14:textId="77777777" w:rsidR="00AB3BF7" w:rsidRDefault="0021717B" w:rsidP="006B3C78">
      <w:r>
        <w:tab/>
      </w:r>
      <w:r>
        <w:tab/>
      </w:r>
      <w:r>
        <w:tab/>
      </w:r>
      <w:r>
        <w:tab/>
      </w:r>
      <w:r>
        <w:tab/>
      </w:r>
      <w:r>
        <w:tab/>
      </w:r>
      <w:r>
        <w:tab/>
      </w:r>
      <w:r w:rsidR="006B3C78">
        <w:t>[Student Information Deleted]</w:t>
      </w:r>
    </w:p>
    <w:p w14:paraId="6D2284D0" w14:textId="77777777" w:rsidR="00AB3BF7" w:rsidRDefault="00AB3BF7" w:rsidP="00AB3BF7">
      <w:r>
        <w:tab/>
      </w:r>
      <w:r>
        <w:tab/>
      </w:r>
      <w:r>
        <w:tab/>
      </w:r>
      <w:r>
        <w:tab/>
      </w:r>
      <w:r>
        <w:tab/>
      </w:r>
    </w:p>
    <w:p w14:paraId="604E0F6E" w14:textId="77777777" w:rsidR="00AB3BF7" w:rsidRDefault="00AB3BF7" w:rsidP="00AB3BF7">
      <w:pPr>
        <w:pStyle w:val="Footer"/>
        <w:widowControl w:val="0"/>
        <w:tabs>
          <w:tab w:val="clear" w:pos="4320"/>
          <w:tab w:val="clear" w:pos="8640"/>
        </w:tabs>
      </w:pPr>
      <w:r>
        <w:tab/>
      </w:r>
      <w:r>
        <w:tab/>
      </w:r>
      <w:r>
        <w:tab/>
      </w:r>
      <w:r>
        <w:tab/>
      </w:r>
      <w:r>
        <w:tab/>
      </w:r>
      <w:r>
        <w:tab/>
      </w:r>
      <w:r>
        <w:tab/>
        <w:t xml:space="preserve">ATTORNEY FOR PLAINTIFF </w:t>
      </w:r>
    </w:p>
    <w:p w14:paraId="2DB2D025" w14:textId="77777777" w:rsidR="00AB3BF7" w:rsidRPr="003A0D91" w:rsidRDefault="00AB3BF7" w:rsidP="003A0D91">
      <w:pPr>
        <w:pStyle w:val="Footer"/>
        <w:widowControl w:val="0"/>
        <w:tabs>
          <w:tab w:val="clear" w:pos="4320"/>
          <w:tab w:val="clear" w:pos="8640"/>
        </w:tabs>
        <w:ind w:left="4320" w:firstLine="720"/>
        <w:rPr>
          <w:snapToGrid w:val="0"/>
          <w:szCs w:val="24"/>
        </w:rPr>
      </w:pPr>
      <w:r w:rsidRPr="007D11E3">
        <w:rPr>
          <w:snapToGrid w:val="0"/>
          <w:szCs w:val="24"/>
        </w:rPr>
        <w:t xml:space="preserve">OGS TV, INC.         </w:t>
      </w:r>
    </w:p>
    <w:sectPr w:rsidR="00AB3BF7" w:rsidRPr="003A0D91" w:rsidSect="00B82F0F">
      <w:footerReference w:type="default" r:id="rId8"/>
      <w:headerReference w:type="first" r:id="rId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D2039F" w14:textId="77777777" w:rsidR="000B3D97" w:rsidRDefault="000B3D97" w:rsidP="00F67E85">
      <w:r>
        <w:separator/>
      </w:r>
    </w:p>
  </w:endnote>
  <w:endnote w:type="continuationSeparator" w:id="0">
    <w:p w14:paraId="3D121BB0" w14:textId="77777777" w:rsidR="000B3D97" w:rsidRDefault="000B3D97" w:rsidP="00F67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12561794"/>
      <w:docPartObj>
        <w:docPartGallery w:val="Page Numbers (Bottom of Page)"/>
        <w:docPartUnique/>
      </w:docPartObj>
    </w:sdtPr>
    <w:sdtEndPr>
      <w:rPr>
        <w:noProof/>
      </w:rPr>
    </w:sdtEndPr>
    <w:sdtContent>
      <w:p w14:paraId="3F575F5D" w14:textId="77777777" w:rsidR="00CD56B6" w:rsidRDefault="00CD56B6">
        <w:pPr>
          <w:pStyle w:val="Footer"/>
          <w:jc w:val="center"/>
        </w:pPr>
        <w:r>
          <w:fldChar w:fldCharType="begin"/>
        </w:r>
        <w:r>
          <w:instrText xml:space="preserve"> PAGE   \* MERGEFORMAT </w:instrText>
        </w:r>
        <w:r>
          <w:fldChar w:fldCharType="separate"/>
        </w:r>
        <w:r w:rsidR="00B71762">
          <w:rPr>
            <w:noProof/>
          </w:rPr>
          <w:t>2</w:t>
        </w:r>
        <w:r>
          <w:rPr>
            <w:noProof/>
          </w:rPr>
          <w:fldChar w:fldCharType="end"/>
        </w:r>
      </w:p>
    </w:sdtContent>
  </w:sdt>
  <w:p w14:paraId="15F25086" w14:textId="77777777" w:rsidR="00CD56B6" w:rsidRDefault="00CD56B6">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E7E579" w14:textId="77777777" w:rsidR="000B3D97" w:rsidRDefault="000B3D97" w:rsidP="00F67E85">
      <w:r>
        <w:separator/>
      </w:r>
    </w:p>
  </w:footnote>
  <w:footnote w:type="continuationSeparator" w:id="0">
    <w:p w14:paraId="47B9037A" w14:textId="77777777" w:rsidR="000B3D97" w:rsidRDefault="000B3D97" w:rsidP="00F67E85">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5258D1" w14:textId="77777777" w:rsidR="00B82F0F" w:rsidRPr="007D11E3" w:rsidRDefault="00B82F0F" w:rsidP="00B82F0F">
    <w:pPr>
      <w:jc w:val="center"/>
      <w:rPr>
        <w:b/>
        <w:szCs w:val="24"/>
      </w:rPr>
    </w:pPr>
    <w:r w:rsidRPr="007D11E3">
      <w:rPr>
        <w:b/>
        <w:szCs w:val="24"/>
      </w:rPr>
      <w:t>UNITED STATES DISTRICT COURT</w:t>
    </w:r>
  </w:p>
  <w:p w14:paraId="63260544" w14:textId="77777777" w:rsidR="00B82F0F" w:rsidRPr="00B82F0F" w:rsidRDefault="00B82F0F" w:rsidP="00B82F0F">
    <w:pPr>
      <w:pStyle w:val="Header"/>
      <w:jc w:val="center"/>
    </w:pPr>
    <w:r w:rsidRPr="007D11E3">
      <w:rPr>
        <w:b/>
        <w:szCs w:val="24"/>
      </w:rPr>
      <w:t>DISTRICT OF MOOT</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D2606E"/>
    <w:multiLevelType w:val="hybridMultilevel"/>
    <w:tmpl w:val="94FC2FBA"/>
    <w:lvl w:ilvl="0" w:tplc="624C86C8">
      <w:start w:val="1"/>
      <w:numFmt w:val="decimal"/>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832222"/>
    <w:multiLevelType w:val="multilevel"/>
    <w:tmpl w:val="50F4210A"/>
    <w:lvl w:ilvl="0">
      <w:start w:val="3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24A4FC4"/>
    <w:multiLevelType w:val="hybridMultilevel"/>
    <w:tmpl w:val="8BB894DA"/>
    <w:lvl w:ilvl="0" w:tplc="04090019">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
    <w:nsid w:val="38B3653A"/>
    <w:multiLevelType w:val="hybridMultilevel"/>
    <w:tmpl w:val="99A872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5C033B79"/>
    <w:multiLevelType w:val="hybridMultilevel"/>
    <w:tmpl w:val="94980C62"/>
    <w:lvl w:ilvl="0" w:tplc="04090019">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5">
    <w:nsid w:val="62E70EFF"/>
    <w:multiLevelType w:val="hybridMultilevel"/>
    <w:tmpl w:val="1BE21E6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nsid w:val="6F903A74"/>
    <w:multiLevelType w:val="hybridMultilevel"/>
    <w:tmpl w:val="095EB2D2"/>
    <w:lvl w:ilvl="0" w:tplc="43B26EE2">
      <w:start w:val="1"/>
      <w:numFmt w:val="upperRoman"/>
      <w:lvlText w:val="%1."/>
      <w:lvlJc w:val="left"/>
      <w:pPr>
        <w:ind w:left="1080" w:hanging="720"/>
      </w:pPr>
      <w:rPr>
        <w:rFonts w:cs="Times New Roman" w:hint="default"/>
      </w:rPr>
    </w:lvl>
    <w:lvl w:ilvl="1" w:tplc="04090015">
      <w:start w:val="1"/>
      <w:numFmt w:val="upperLetter"/>
      <w:lvlText w:val="%2."/>
      <w:lvlJc w:val="left"/>
      <w:pPr>
        <w:ind w:left="1170" w:hanging="360"/>
      </w:p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1530" w:hanging="360"/>
      </w:pPr>
      <w:rPr>
        <w:rFonts w:cs="Times New Roman"/>
      </w:rPr>
    </w:lvl>
    <w:lvl w:ilvl="5" w:tplc="0409001B">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73F24A77"/>
    <w:multiLevelType w:val="multilevel"/>
    <w:tmpl w:val="D83ABF1C"/>
    <w:lvl w:ilvl="0">
      <w:start w:val="3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5"/>
  </w:num>
  <w:num w:numId="3">
    <w:abstractNumId w:val="0"/>
  </w:num>
  <w:num w:numId="4">
    <w:abstractNumId w:val="1"/>
  </w:num>
  <w:num w:numId="5">
    <w:abstractNumId w:val="7"/>
  </w:num>
  <w:num w:numId="6">
    <w:abstractNumId w:val="3"/>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E85"/>
    <w:rsid w:val="00007820"/>
    <w:rsid w:val="0001220F"/>
    <w:rsid w:val="00023B38"/>
    <w:rsid w:val="0003100A"/>
    <w:rsid w:val="000364A3"/>
    <w:rsid w:val="00067676"/>
    <w:rsid w:val="00071C67"/>
    <w:rsid w:val="00075E9C"/>
    <w:rsid w:val="00080536"/>
    <w:rsid w:val="00094172"/>
    <w:rsid w:val="0009757E"/>
    <w:rsid w:val="000A3FF5"/>
    <w:rsid w:val="000B0CF0"/>
    <w:rsid w:val="000B2281"/>
    <w:rsid w:val="000B3D97"/>
    <w:rsid w:val="000C7754"/>
    <w:rsid w:val="00102589"/>
    <w:rsid w:val="001220C4"/>
    <w:rsid w:val="0012338F"/>
    <w:rsid w:val="001274FC"/>
    <w:rsid w:val="00135799"/>
    <w:rsid w:val="0016110B"/>
    <w:rsid w:val="001908B4"/>
    <w:rsid w:val="001A105D"/>
    <w:rsid w:val="001B0E65"/>
    <w:rsid w:val="001B7376"/>
    <w:rsid w:val="001C3919"/>
    <w:rsid w:val="001D2CBD"/>
    <w:rsid w:val="00202E80"/>
    <w:rsid w:val="0021717B"/>
    <w:rsid w:val="0022022F"/>
    <w:rsid w:val="002316BF"/>
    <w:rsid w:val="00237B44"/>
    <w:rsid w:val="00246249"/>
    <w:rsid w:val="0025568A"/>
    <w:rsid w:val="0026061C"/>
    <w:rsid w:val="00276D01"/>
    <w:rsid w:val="002974DE"/>
    <w:rsid w:val="002A77B9"/>
    <w:rsid w:val="002B4FB5"/>
    <w:rsid w:val="002E1F08"/>
    <w:rsid w:val="002F74A1"/>
    <w:rsid w:val="00320D4C"/>
    <w:rsid w:val="00331B49"/>
    <w:rsid w:val="00355707"/>
    <w:rsid w:val="0035767E"/>
    <w:rsid w:val="00385708"/>
    <w:rsid w:val="003A0D91"/>
    <w:rsid w:val="003B3D1F"/>
    <w:rsid w:val="003C50D2"/>
    <w:rsid w:val="003D73E0"/>
    <w:rsid w:val="003E2D3A"/>
    <w:rsid w:val="003E6E2B"/>
    <w:rsid w:val="0040051E"/>
    <w:rsid w:val="0040263D"/>
    <w:rsid w:val="00407D7A"/>
    <w:rsid w:val="00414BA4"/>
    <w:rsid w:val="0042622D"/>
    <w:rsid w:val="00437A01"/>
    <w:rsid w:val="00441466"/>
    <w:rsid w:val="00443E73"/>
    <w:rsid w:val="004467BB"/>
    <w:rsid w:val="00476F97"/>
    <w:rsid w:val="0048393C"/>
    <w:rsid w:val="004A65E8"/>
    <w:rsid w:val="004B0F25"/>
    <w:rsid w:val="004E6419"/>
    <w:rsid w:val="00532689"/>
    <w:rsid w:val="0056105C"/>
    <w:rsid w:val="00576042"/>
    <w:rsid w:val="00577895"/>
    <w:rsid w:val="0058597C"/>
    <w:rsid w:val="00587219"/>
    <w:rsid w:val="00587BB9"/>
    <w:rsid w:val="00597F70"/>
    <w:rsid w:val="005B3A33"/>
    <w:rsid w:val="005B5E30"/>
    <w:rsid w:val="005C2DAB"/>
    <w:rsid w:val="005D2D37"/>
    <w:rsid w:val="005D5AE8"/>
    <w:rsid w:val="006227E2"/>
    <w:rsid w:val="00623F16"/>
    <w:rsid w:val="00625D5B"/>
    <w:rsid w:val="006424E8"/>
    <w:rsid w:val="00645A7D"/>
    <w:rsid w:val="00653D0A"/>
    <w:rsid w:val="006608B2"/>
    <w:rsid w:val="0066482B"/>
    <w:rsid w:val="0067413C"/>
    <w:rsid w:val="00677CBC"/>
    <w:rsid w:val="006A3222"/>
    <w:rsid w:val="006A4D26"/>
    <w:rsid w:val="006B3C78"/>
    <w:rsid w:val="006B7611"/>
    <w:rsid w:val="006E7C84"/>
    <w:rsid w:val="006F5D40"/>
    <w:rsid w:val="00716AD5"/>
    <w:rsid w:val="00764E72"/>
    <w:rsid w:val="00780D83"/>
    <w:rsid w:val="00790C9C"/>
    <w:rsid w:val="00794728"/>
    <w:rsid w:val="007969E8"/>
    <w:rsid w:val="007A1E3A"/>
    <w:rsid w:val="007B4663"/>
    <w:rsid w:val="007B5DB7"/>
    <w:rsid w:val="007C1C52"/>
    <w:rsid w:val="007C4B2C"/>
    <w:rsid w:val="007C725C"/>
    <w:rsid w:val="007D11E3"/>
    <w:rsid w:val="007D616F"/>
    <w:rsid w:val="007D7910"/>
    <w:rsid w:val="007F2039"/>
    <w:rsid w:val="00810C09"/>
    <w:rsid w:val="008445DF"/>
    <w:rsid w:val="008747FD"/>
    <w:rsid w:val="00885610"/>
    <w:rsid w:val="008872A9"/>
    <w:rsid w:val="00890F2D"/>
    <w:rsid w:val="008921C9"/>
    <w:rsid w:val="00896CC1"/>
    <w:rsid w:val="00896DBD"/>
    <w:rsid w:val="008A2031"/>
    <w:rsid w:val="008B0E79"/>
    <w:rsid w:val="008E2E56"/>
    <w:rsid w:val="00914F83"/>
    <w:rsid w:val="009220EF"/>
    <w:rsid w:val="00932499"/>
    <w:rsid w:val="00934F71"/>
    <w:rsid w:val="0093509D"/>
    <w:rsid w:val="00935E1D"/>
    <w:rsid w:val="00971C8D"/>
    <w:rsid w:val="00973CEC"/>
    <w:rsid w:val="00975EDF"/>
    <w:rsid w:val="00996E7D"/>
    <w:rsid w:val="009B1299"/>
    <w:rsid w:val="009B68E5"/>
    <w:rsid w:val="009C56D3"/>
    <w:rsid w:val="009C59D0"/>
    <w:rsid w:val="009C750C"/>
    <w:rsid w:val="009D2436"/>
    <w:rsid w:val="009D5649"/>
    <w:rsid w:val="009E7D53"/>
    <w:rsid w:val="009F2B29"/>
    <w:rsid w:val="00A10B51"/>
    <w:rsid w:val="00A2098F"/>
    <w:rsid w:val="00A234AB"/>
    <w:rsid w:val="00A27CDA"/>
    <w:rsid w:val="00A35869"/>
    <w:rsid w:val="00A35CFC"/>
    <w:rsid w:val="00A5563F"/>
    <w:rsid w:val="00A64733"/>
    <w:rsid w:val="00A65CD7"/>
    <w:rsid w:val="00A7056D"/>
    <w:rsid w:val="00A8455D"/>
    <w:rsid w:val="00A87608"/>
    <w:rsid w:val="00A96D49"/>
    <w:rsid w:val="00AA0B73"/>
    <w:rsid w:val="00AA624C"/>
    <w:rsid w:val="00AB3BF7"/>
    <w:rsid w:val="00AB3ECD"/>
    <w:rsid w:val="00AC148F"/>
    <w:rsid w:val="00AD5997"/>
    <w:rsid w:val="00AD77C9"/>
    <w:rsid w:val="00B16530"/>
    <w:rsid w:val="00B227A9"/>
    <w:rsid w:val="00B40B17"/>
    <w:rsid w:val="00B46FA4"/>
    <w:rsid w:val="00B62A66"/>
    <w:rsid w:val="00B654BA"/>
    <w:rsid w:val="00B71762"/>
    <w:rsid w:val="00B75E81"/>
    <w:rsid w:val="00B82F0F"/>
    <w:rsid w:val="00B865C7"/>
    <w:rsid w:val="00B9372D"/>
    <w:rsid w:val="00BB717D"/>
    <w:rsid w:val="00BD1D79"/>
    <w:rsid w:val="00BD3B30"/>
    <w:rsid w:val="00BF79B2"/>
    <w:rsid w:val="00C025E6"/>
    <w:rsid w:val="00C11ACF"/>
    <w:rsid w:val="00C42D7E"/>
    <w:rsid w:val="00C477AB"/>
    <w:rsid w:val="00C50B5A"/>
    <w:rsid w:val="00C51AA1"/>
    <w:rsid w:val="00C54DB4"/>
    <w:rsid w:val="00C90758"/>
    <w:rsid w:val="00C91E63"/>
    <w:rsid w:val="00CA32F4"/>
    <w:rsid w:val="00CA48AE"/>
    <w:rsid w:val="00CB68B0"/>
    <w:rsid w:val="00CD3469"/>
    <w:rsid w:val="00CD56B6"/>
    <w:rsid w:val="00D05171"/>
    <w:rsid w:val="00D07D18"/>
    <w:rsid w:val="00D206EC"/>
    <w:rsid w:val="00D405C7"/>
    <w:rsid w:val="00D51608"/>
    <w:rsid w:val="00D6505B"/>
    <w:rsid w:val="00D6725B"/>
    <w:rsid w:val="00D757D8"/>
    <w:rsid w:val="00D81F97"/>
    <w:rsid w:val="00DB0B2C"/>
    <w:rsid w:val="00DB1C67"/>
    <w:rsid w:val="00DB4415"/>
    <w:rsid w:val="00DD130E"/>
    <w:rsid w:val="00DD1426"/>
    <w:rsid w:val="00DD5BBA"/>
    <w:rsid w:val="00DE4072"/>
    <w:rsid w:val="00DE7716"/>
    <w:rsid w:val="00E024CD"/>
    <w:rsid w:val="00E11AB9"/>
    <w:rsid w:val="00E37232"/>
    <w:rsid w:val="00E40CC4"/>
    <w:rsid w:val="00E42AC9"/>
    <w:rsid w:val="00E47B24"/>
    <w:rsid w:val="00E5042A"/>
    <w:rsid w:val="00E50546"/>
    <w:rsid w:val="00E57718"/>
    <w:rsid w:val="00E61F8A"/>
    <w:rsid w:val="00E6256E"/>
    <w:rsid w:val="00E628F3"/>
    <w:rsid w:val="00E72288"/>
    <w:rsid w:val="00E8635B"/>
    <w:rsid w:val="00E870A3"/>
    <w:rsid w:val="00E9367F"/>
    <w:rsid w:val="00EA3232"/>
    <w:rsid w:val="00EA637A"/>
    <w:rsid w:val="00EB4871"/>
    <w:rsid w:val="00EB4C5A"/>
    <w:rsid w:val="00EB7300"/>
    <w:rsid w:val="00ED7959"/>
    <w:rsid w:val="00F2169B"/>
    <w:rsid w:val="00F2271A"/>
    <w:rsid w:val="00F57AFD"/>
    <w:rsid w:val="00F67E85"/>
    <w:rsid w:val="00F91966"/>
    <w:rsid w:val="00F95255"/>
    <w:rsid w:val="00FA7606"/>
    <w:rsid w:val="00FC18F5"/>
    <w:rsid w:val="00FD07E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1BA4F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nhideWhenUsed="0"/>
    <w:lsdException w:name="caption" w:locked="1" w:uiPriority="0" w:qFormat="1"/>
    <w:lsdException w:name="Title" w:locked="1" w:semiHidden="0" w:uiPriority="0" w:unhideWhenUsed="0" w:qFormat="1"/>
    <w:lsdException w:name="Default Paragraph Font" w:locked="1" w:semiHidden="0" w:uiPriority="1"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7E85"/>
    <w:pPr>
      <w:widowControl w:val="0"/>
    </w:pPr>
    <w:rPr>
      <w:rFonts w:ascii="Times New Roman" w:eastAsia="Times New Roman" w:hAnsi="Times New Roman"/>
      <w:sz w:val="24"/>
      <w:szCs w:val="20"/>
    </w:rPr>
  </w:style>
  <w:style w:type="paragraph" w:styleId="Heading2">
    <w:name w:val="heading 2"/>
    <w:basedOn w:val="Normal"/>
    <w:next w:val="Normal"/>
    <w:link w:val="Heading2Char"/>
    <w:qFormat/>
    <w:rsid w:val="00F67E85"/>
    <w:pPr>
      <w:keepNext/>
      <w:jc w:val="center"/>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locked/>
    <w:rsid w:val="00F67E85"/>
    <w:rPr>
      <w:rFonts w:ascii="Times New Roman" w:hAnsi="Times New Roman" w:cs="Times New Roman"/>
      <w:b/>
      <w:snapToGrid w:val="0"/>
      <w:sz w:val="20"/>
      <w:szCs w:val="20"/>
    </w:rPr>
  </w:style>
  <w:style w:type="paragraph" w:styleId="Footer">
    <w:name w:val="footer"/>
    <w:basedOn w:val="Normal"/>
    <w:link w:val="FooterChar"/>
    <w:uiPriority w:val="99"/>
    <w:rsid w:val="00F67E85"/>
    <w:pPr>
      <w:widowControl/>
      <w:tabs>
        <w:tab w:val="center" w:pos="4320"/>
        <w:tab w:val="right" w:pos="8640"/>
      </w:tabs>
    </w:pPr>
  </w:style>
  <w:style w:type="character" w:customStyle="1" w:styleId="FooterChar">
    <w:name w:val="Footer Char"/>
    <w:basedOn w:val="DefaultParagraphFont"/>
    <w:link w:val="Footer"/>
    <w:uiPriority w:val="99"/>
    <w:locked/>
    <w:rsid w:val="00F67E85"/>
    <w:rPr>
      <w:rFonts w:ascii="Times New Roman" w:hAnsi="Times New Roman" w:cs="Times New Roman"/>
      <w:sz w:val="20"/>
      <w:szCs w:val="20"/>
    </w:rPr>
  </w:style>
  <w:style w:type="paragraph" w:styleId="BodyText">
    <w:name w:val="Body Text"/>
    <w:basedOn w:val="Normal"/>
    <w:link w:val="BodyTextChar"/>
    <w:rsid w:val="00F67E85"/>
    <w:pPr>
      <w:jc w:val="both"/>
    </w:pPr>
  </w:style>
  <w:style w:type="character" w:customStyle="1" w:styleId="BodyTextChar">
    <w:name w:val="Body Text Char"/>
    <w:basedOn w:val="DefaultParagraphFont"/>
    <w:link w:val="BodyText"/>
    <w:locked/>
    <w:rsid w:val="00F67E85"/>
    <w:rPr>
      <w:rFonts w:ascii="Times New Roman" w:hAnsi="Times New Roman" w:cs="Times New Roman"/>
      <w:snapToGrid w:val="0"/>
      <w:sz w:val="20"/>
      <w:szCs w:val="20"/>
    </w:rPr>
  </w:style>
  <w:style w:type="paragraph" w:styleId="Header">
    <w:name w:val="header"/>
    <w:basedOn w:val="Normal"/>
    <w:link w:val="HeaderChar"/>
    <w:uiPriority w:val="99"/>
    <w:rsid w:val="00F67E85"/>
    <w:pPr>
      <w:tabs>
        <w:tab w:val="center" w:pos="4680"/>
        <w:tab w:val="right" w:pos="9360"/>
      </w:tabs>
    </w:pPr>
  </w:style>
  <w:style w:type="character" w:customStyle="1" w:styleId="HeaderChar">
    <w:name w:val="Header Char"/>
    <w:basedOn w:val="DefaultParagraphFont"/>
    <w:link w:val="Header"/>
    <w:uiPriority w:val="99"/>
    <w:locked/>
    <w:rsid w:val="00F67E85"/>
    <w:rPr>
      <w:rFonts w:ascii="Times New Roman" w:hAnsi="Times New Roman" w:cs="Times New Roman"/>
      <w:snapToGrid w:val="0"/>
      <w:sz w:val="20"/>
      <w:szCs w:val="20"/>
    </w:rPr>
  </w:style>
  <w:style w:type="paragraph" w:styleId="ListParagraph">
    <w:name w:val="List Paragraph"/>
    <w:basedOn w:val="Normal"/>
    <w:uiPriority w:val="34"/>
    <w:qFormat/>
    <w:rsid w:val="00E5042A"/>
    <w:pPr>
      <w:ind w:left="720"/>
      <w:contextualSpacing/>
    </w:pPr>
  </w:style>
  <w:style w:type="character" w:customStyle="1" w:styleId="textexposedshow">
    <w:name w:val="text_exposed_show"/>
    <w:basedOn w:val="DefaultParagraphFont"/>
    <w:rsid w:val="00075E9C"/>
    <w:rPr>
      <w:rFonts w:cs="Times New Roman"/>
    </w:rPr>
  </w:style>
  <w:style w:type="character" w:styleId="CommentReference">
    <w:name w:val="annotation reference"/>
    <w:basedOn w:val="DefaultParagraphFont"/>
    <w:uiPriority w:val="99"/>
    <w:semiHidden/>
    <w:rsid w:val="00A7056D"/>
    <w:rPr>
      <w:rFonts w:cs="Times New Roman"/>
      <w:sz w:val="16"/>
      <w:szCs w:val="16"/>
    </w:rPr>
  </w:style>
  <w:style w:type="paragraph" w:styleId="CommentText">
    <w:name w:val="annotation text"/>
    <w:basedOn w:val="Normal"/>
    <w:link w:val="CommentTextChar"/>
    <w:uiPriority w:val="99"/>
    <w:semiHidden/>
    <w:rsid w:val="00A7056D"/>
    <w:rPr>
      <w:sz w:val="20"/>
    </w:rPr>
  </w:style>
  <w:style w:type="character" w:customStyle="1" w:styleId="CommentTextChar">
    <w:name w:val="Comment Text Char"/>
    <w:basedOn w:val="DefaultParagraphFont"/>
    <w:link w:val="CommentText"/>
    <w:uiPriority w:val="99"/>
    <w:semiHidden/>
    <w:rsid w:val="00D93A52"/>
    <w:rPr>
      <w:rFonts w:ascii="Times New Roman" w:eastAsia="Times New Roman" w:hAnsi="Times New Roman"/>
      <w:sz w:val="20"/>
      <w:szCs w:val="20"/>
    </w:rPr>
  </w:style>
  <w:style w:type="paragraph" w:styleId="CommentSubject">
    <w:name w:val="annotation subject"/>
    <w:basedOn w:val="CommentText"/>
    <w:next w:val="CommentText"/>
    <w:link w:val="CommentSubjectChar"/>
    <w:uiPriority w:val="99"/>
    <w:semiHidden/>
    <w:rsid w:val="00A7056D"/>
    <w:rPr>
      <w:b/>
      <w:bCs/>
    </w:rPr>
  </w:style>
  <w:style w:type="character" w:customStyle="1" w:styleId="CommentSubjectChar">
    <w:name w:val="Comment Subject Char"/>
    <w:basedOn w:val="CommentTextChar"/>
    <w:link w:val="CommentSubject"/>
    <w:uiPriority w:val="99"/>
    <w:semiHidden/>
    <w:rsid w:val="00D93A52"/>
    <w:rPr>
      <w:rFonts w:ascii="Times New Roman" w:eastAsia="Times New Roman" w:hAnsi="Times New Roman"/>
      <w:b/>
      <w:bCs/>
      <w:sz w:val="20"/>
      <w:szCs w:val="20"/>
    </w:rPr>
  </w:style>
  <w:style w:type="paragraph" w:styleId="BalloonText">
    <w:name w:val="Balloon Text"/>
    <w:basedOn w:val="Normal"/>
    <w:link w:val="BalloonTextChar"/>
    <w:uiPriority w:val="99"/>
    <w:semiHidden/>
    <w:rsid w:val="00A7056D"/>
    <w:rPr>
      <w:rFonts w:ascii="Tahoma" w:hAnsi="Tahoma" w:cs="Tahoma"/>
      <w:sz w:val="16"/>
      <w:szCs w:val="16"/>
    </w:rPr>
  </w:style>
  <w:style w:type="character" w:customStyle="1" w:styleId="BalloonTextChar">
    <w:name w:val="Balloon Text Char"/>
    <w:basedOn w:val="DefaultParagraphFont"/>
    <w:link w:val="BalloonText"/>
    <w:uiPriority w:val="99"/>
    <w:semiHidden/>
    <w:rsid w:val="00D93A52"/>
    <w:rPr>
      <w:rFonts w:ascii="Times New Roman" w:eastAsia="Times New Roman" w:hAnsi="Times New Roman"/>
      <w:sz w:val="0"/>
      <w:szCs w:val="0"/>
    </w:rPr>
  </w:style>
  <w:style w:type="paragraph" w:styleId="NormalWeb">
    <w:name w:val="Normal (Web)"/>
    <w:basedOn w:val="Normal"/>
    <w:uiPriority w:val="99"/>
    <w:semiHidden/>
    <w:unhideWhenUsed/>
    <w:rsid w:val="00C54DB4"/>
    <w:pPr>
      <w:widowControl/>
      <w:spacing w:before="100" w:beforeAutospacing="1" w:after="100" w:afterAutospacing="1"/>
    </w:pPr>
    <w:rPr>
      <w:szCs w:val="24"/>
    </w:rPr>
  </w:style>
  <w:style w:type="character" w:styleId="Hyperlink">
    <w:name w:val="Hyperlink"/>
    <w:basedOn w:val="DefaultParagraphFont"/>
    <w:uiPriority w:val="99"/>
    <w:unhideWhenUsed/>
    <w:rsid w:val="00AB3BF7"/>
    <w:rPr>
      <w:color w:val="0000FF" w:themeColor="hyperlink"/>
      <w:u w:val="single"/>
    </w:rPr>
  </w:style>
  <w:style w:type="paragraph" w:customStyle="1" w:styleId="list0020paragraph">
    <w:name w:val="list_0020paragraph"/>
    <w:basedOn w:val="Normal"/>
    <w:rsid w:val="00E6256E"/>
    <w:pPr>
      <w:widowControl/>
      <w:spacing w:before="100" w:beforeAutospacing="1" w:after="100" w:afterAutospacing="1"/>
    </w:pPr>
    <w:rPr>
      <w:szCs w:val="24"/>
    </w:rPr>
  </w:style>
  <w:style w:type="paragraph" w:styleId="EndnoteText">
    <w:name w:val="endnote text"/>
    <w:basedOn w:val="Normal"/>
    <w:link w:val="EndnoteTextChar"/>
    <w:uiPriority w:val="99"/>
    <w:semiHidden/>
    <w:unhideWhenUsed/>
    <w:rsid w:val="006608B2"/>
    <w:rPr>
      <w:sz w:val="20"/>
    </w:rPr>
  </w:style>
  <w:style w:type="character" w:customStyle="1" w:styleId="EndnoteTextChar">
    <w:name w:val="Endnote Text Char"/>
    <w:basedOn w:val="DefaultParagraphFont"/>
    <w:link w:val="EndnoteText"/>
    <w:uiPriority w:val="99"/>
    <w:semiHidden/>
    <w:rsid w:val="006608B2"/>
    <w:rPr>
      <w:rFonts w:ascii="Times New Roman" w:eastAsia="Times New Roman" w:hAnsi="Times New Roman"/>
      <w:sz w:val="20"/>
      <w:szCs w:val="20"/>
    </w:rPr>
  </w:style>
  <w:style w:type="character" w:styleId="EndnoteReference">
    <w:name w:val="endnote reference"/>
    <w:basedOn w:val="DefaultParagraphFont"/>
    <w:uiPriority w:val="99"/>
    <w:semiHidden/>
    <w:unhideWhenUsed/>
    <w:rsid w:val="006608B2"/>
    <w:rPr>
      <w:vertAlign w:val="superscript"/>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nhideWhenUsed="0"/>
    <w:lsdException w:name="caption" w:locked="1" w:uiPriority="0" w:qFormat="1"/>
    <w:lsdException w:name="Title" w:locked="1" w:semiHidden="0" w:uiPriority="0" w:unhideWhenUsed="0" w:qFormat="1"/>
    <w:lsdException w:name="Default Paragraph Font" w:locked="1" w:semiHidden="0" w:uiPriority="1"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7E85"/>
    <w:pPr>
      <w:widowControl w:val="0"/>
    </w:pPr>
    <w:rPr>
      <w:rFonts w:ascii="Times New Roman" w:eastAsia="Times New Roman" w:hAnsi="Times New Roman"/>
      <w:sz w:val="24"/>
      <w:szCs w:val="20"/>
    </w:rPr>
  </w:style>
  <w:style w:type="paragraph" w:styleId="Heading2">
    <w:name w:val="heading 2"/>
    <w:basedOn w:val="Normal"/>
    <w:next w:val="Normal"/>
    <w:link w:val="Heading2Char"/>
    <w:qFormat/>
    <w:rsid w:val="00F67E85"/>
    <w:pPr>
      <w:keepNext/>
      <w:jc w:val="center"/>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locked/>
    <w:rsid w:val="00F67E85"/>
    <w:rPr>
      <w:rFonts w:ascii="Times New Roman" w:hAnsi="Times New Roman" w:cs="Times New Roman"/>
      <w:b/>
      <w:snapToGrid w:val="0"/>
      <w:sz w:val="20"/>
      <w:szCs w:val="20"/>
    </w:rPr>
  </w:style>
  <w:style w:type="paragraph" w:styleId="Footer">
    <w:name w:val="footer"/>
    <w:basedOn w:val="Normal"/>
    <w:link w:val="FooterChar"/>
    <w:uiPriority w:val="99"/>
    <w:rsid w:val="00F67E85"/>
    <w:pPr>
      <w:widowControl/>
      <w:tabs>
        <w:tab w:val="center" w:pos="4320"/>
        <w:tab w:val="right" w:pos="8640"/>
      </w:tabs>
    </w:pPr>
  </w:style>
  <w:style w:type="character" w:customStyle="1" w:styleId="FooterChar">
    <w:name w:val="Footer Char"/>
    <w:basedOn w:val="DefaultParagraphFont"/>
    <w:link w:val="Footer"/>
    <w:uiPriority w:val="99"/>
    <w:locked/>
    <w:rsid w:val="00F67E85"/>
    <w:rPr>
      <w:rFonts w:ascii="Times New Roman" w:hAnsi="Times New Roman" w:cs="Times New Roman"/>
      <w:sz w:val="20"/>
      <w:szCs w:val="20"/>
    </w:rPr>
  </w:style>
  <w:style w:type="paragraph" w:styleId="BodyText">
    <w:name w:val="Body Text"/>
    <w:basedOn w:val="Normal"/>
    <w:link w:val="BodyTextChar"/>
    <w:rsid w:val="00F67E85"/>
    <w:pPr>
      <w:jc w:val="both"/>
    </w:pPr>
  </w:style>
  <w:style w:type="character" w:customStyle="1" w:styleId="BodyTextChar">
    <w:name w:val="Body Text Char"/>
    <w:basedOn w:val="DefaultParagraphFont"/>
    <w:link w:val="BodyText"/>
    <w:locked/>
    <w:rsid w:val="00F67E85"/>
    <w:rPr>
      <w:rFonts w:ascii="Times New Roman" w:hAnsi="Times New Roman" w:cs="Times New Roman"/>
      <w:snapToGrid w:val="0"/>
      <w:sz w:val="20"/>
      <w:szCs w:val="20"/>
    </w:rPr>
  </w:style>
  <w:style w:type="paragraph" w:styleId="Header">
    <w:name w:val="header"/>
    <w:basedOn w:val="Normal"/>
    <w:link w:val="HeaderChar"/>
    <w:uiPriority w:val="99"/>
    <w:rsid w:val="00F67E85"/>
    <w:pPr>
      <w:tabs>
        <w:tab w:val="center" w:pos="4680"/>
        <w:tab w:val="right" w:pos="9360"/>
      </w:tabs>
    </w:pPr>
  </w:style>
  <w:style w:type="character" w:customStyle="1" w:styleId="HeaderChar">
    <w:name w:val="Header Char"/>
    <w:basedOn w:val="DefaultParagraphFont"/>
    <w:link w:val="Header"/>
    <w:uiPriority w:val="99"/>
    <w:locked/>
    <w:rsid w:val="00F67E85"/>
    <w:rPr>
      <w:rFonts w:ascii="Times New Roman" w:hAnsi="Times New Roman" w:cs="Times New Roman"/>
      <w:snapToGrid w:val="0"/>
      <w:sz w:val="20"/>
      <w:szCs w:val="20"/>
    </w:rPr>
  </w:style>
  <w:style w:type="paragraph" w:styleId="ListParagraph">
    <w:name w:val="List Paragraph"/>
    <w:basedOn w:val="Normal"/>
    <w:uiPriority w:val="34"/>
    <w:qFormat/>
    <w:rsid w:val="00E5042A"/>
    <w:pPr>
      <w:ind w:left="720"/>
      <w:contextualSpacing/>
    </w:pPr>
  </w:style>
  <w:style w:type="character" w:customStyle="1" w:styleId="textexposedshow">
    <w:name w:val="text_exposed_show"/>
    <w:basedOn w:val="DefaultParagraphFont"/>
    <w:rsid w:val="00075E9C"/>
    <w:rPr>
      <w:rFonts w:cs="Times New Roman"/>
    </w:rPr>
  </w:style>
  <w:style w:type="character" w:styleId="CommentReference">
    <w:name w:val="annotation reference"/>
    <w:basedOn w:val="DefaultParagraphFont"/>
    <w:uiPriority w:val="99"/>
    <w:semiHidden/>
    <w:rsid w:val="00A7056D"/>
    <w:rPr>
      <w:rFonts w:cs="Times New Roman"/>
      <w:sz w:val="16"/>
      <w:szCs w:val="16"/>
    </w:rPr>
  </w:style>
  <w:style w:type="paragraph" w:styleId="CommentText">
    <w:name w:val="annotation text"/>
    <w:basedOn w:val="Normal"/>
    <w:link w:val="CommentTextChar"/>
    <w:uiPriority w:val="99"/>
    <w:semiHidden/>
    <w:rsid w:val="00A7056D"/>
    <w:rPr>
      <w:sz w:val="20"/>
    </w:rPr>
  </w:style>
  <w:style w:type="character" w:customStyle="1" w:styleId="CommentTextChar">
    <w:name w:val="Comment Text Char"/>
    <w:basedOn w:val="DefaultParagraphFont"/>
    <w:link w:val="CommentText"/>
    <w:uiPriority w:val="99"/>
    <w:semiHidden/>
    <w:rsid w:val="00D93A52"/>
    <w:rPr>
      <w:rFonts w:ascii="Times New Roman" w:eastAsia="Times New Roman" w:hAnsi="Times New Roman"/>
      <w:sz w:val="20"/>
      <w:szCs w:val="20"/>
    </w:rPr>
  </w:style>
  <w:style w:type="paragraph" w:styleId="CommentSubject">
    <w:name w:val="annotation subject"/>
    <w:basedOn w:val="CommentText"/>
    <w:next w:val="CommentText"/>
    <w:link w:val="CommentSubjectChar"/>
    <w:uiPriority w:val="99"/>
    <w:semiHidden/>
    <w:rsid w:val="00A7056D"/>
    <w:rPr>
      <w:b/>
      <w:bCs/>
    </w:rPr>
  </w:style>
  <w:style w:type="character" w:customStyle="1" w:styleId="CommentSubjectChar">
    <w:name w:val="Comment Subject Char"/>
    <w:basedOn w:val="CommentTextChar"/>
    <w:link w:val="CommentSubject"/>
    <w:uiPriority w:val="99"/>
    <w:semiHidden/>
    <w:rsid w:val="00D93A52"/>
    <w:rPr>
      <w:rFonts w:ascii="Times New Roman" w:eastAsia="Times New Roman" w:hAnsi="Times New Roman"/>
      <w:b/>
      <w:bCs/>
      <w:sz w:val="20"/>
      <w:szCs w:val="20"/>
    </w:rPr>
  </w:style>
  <w:style w:type="paragraph" w:styleId="BalloonText">
    <w:name w:val="Balloon Text"/>
    <w:basedOn w:val="Normal"/>
    <w:link w:val="BalloonTextChar"/>
    <w:uiPriority w:val="99"/>
    <w:semiHidden/>
    <w:rsid w:val="00A7056D"/>
    <w:rPr>
      <w:rFonts w:ascii="Tahoma" w:hAnsi="Tahoma" w:cs="Tahoma"/>
      <w:sz w:val="16"/>
      <w:szCs w:val="16"/>
    </w:rPr>
  </w:style>
  <w:style w:type="character" w:customStyle="1" w:styleId="BalloonTextChar">
    <w:name w:val="Balloon Text Char"/>
    <w:basedOn w:val="DefaultParagraphFont"/>
    <w:link w:val="BalloonText"/>
    <w:uiPriority w:val="99"/>
    <w:semiHidden/>
    <w:rsid w:val="00D93A52"/>
    <w:rPr>
      <w:rFonts w:ascii="Times New Roman" w:eastAsia="Times New Roman" w:hAnsi="Times New Roman"/>
      <w:sz w:val="0"/>
      <w:szCs w:val="0"/>
    </w:rPr>
  </w:style>
  <w:style w:type="paragraph" w:styleId="NormalWeb">
    <w:name w:val="Normal (Web)"/>
    <w:basedOn w:val="Normal"/>
    <w:uiPriority w:val="99"/>
    <w:semiHidden/>
    <w:unhideWhenUsed/>
    <w:rsid w:val="00C54DB4"/>
    <w:pPr>
      <w:widowControl/>
      <w:spacing w:before="100" w:beforeAutospacing="1" w:after="100" w:afterAutospacing="1"/>
    </w:pPr>
    <w:rPr>
      <w:szCs w:val="24"/>
    </w:rPr>
  </w:style>
  <w:style w:type="character" w:styleId="Hyperlink">
    <w:name w:val="Hyperlink"/>
    <w:basedOn w:val="DefaultParagraphFont"/>
    <w:uiPriority w:val="99"/>
    <w:unhideWhenUsed/>
    <w:rsid w:val="00AB3BF7"/>
    <w:rPr>
      <w:color w:val="0000FF" w:themeColor="hyperlink"/>
      <w:u w:val="single"/>
    </w:rPr>
  </w:style>
  <w:style w:type="paragraph" w:customStyle="1" w:styleId="list0020paragraph">
    <w:name w:val="list_0020paragraph"/>
    <w:basedOn w:val="Normal"/>
    <w:rsid w:val="00E6256E"/>
    <w:pPr>
      <w:widowControl/>
      <w:spacing w:before="100" w:beforeAutospacing="1" w:after="100" w:afterAutospacing="1"/>
    </w:pPr>
    <w:rPr>
      <w:szCs w:val="24"/>
    </w:rPr>
  </w:style>
  <w:style w:type="paragraph" w:styleId="EndnoteText">
    <w:name w:val="endnote text"/>
    <w:basedOn w:val="Normal"/>
    <w:link w:val="EndnoteTextChar"/>
    <w:uiPriority w:val="99"/>
    <w:semiHidden/>
    <w:unhideWhenUsed/>
    <w:rsid w:val="006608B2"/>
    <w:rPr>
      <w:sz w:val="20"/>
    </w:rPr>
  </w:style>
  <w:style w:type="character" w:customStyle="1" w:styleId="EndnoteTextChar">
    <w:name w:val="Endnote Text Char"/>
    <w:basedOn w:val="DefaultParagraphFont"/>
    <w:link w:val="EndnoteText"/>
    <w:uiPriority w:val="99"/>
    <w:semiHidden/>
    <w:rsid w:val="006608B2"/>
    <w:rPr>
      <w:rFonts w:ascii="Times New Roman" w:eastAsia="Times New Roman" w:hAnsi="Times New Roman"/>
      <w:sz w:val="20"/>
      <w:szCs w:val="20"/>
    </w:rPr>
  </w:style>
  <w:style w:type="character" w:styleId="EndnoteReference">
    <w:name w:val="endnote reference"/>
    <w:basedOn w:val="DefaultParagraphFont"/>
    <w:uiPriority w:val="99"/>
    <w:semiHidden/>
    <w:unhideWhenUsed/>
    <w:rsid w:val="006608B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929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header" Target="head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4942</Words>
  <Characters>26297</Characters>
  <Application>Microsoft Macintosh Word</Application>
  <DocSecurity>0</DocSecurity>
  <Lines>381</Lines>
  <Paragraphs>81</Paragraphs>
  <ScaleCrop>false</ScaleCrop>
  <HeadingPairs>
    <vt:vector size="2" baseType="variant">
      <vt:variant>
        <vt:lpstr>Title</vt:lpstr>
      </vt:variant>
      <vt:variant>
        <vt:i4>1</vt:i4>
      </vt:variant>
    </vt:vector>
  </HeadingPairs>
  <TitlesOfParts>
    <vt:vector size="1" baseType="lpstr">
      <vt:lpstr>UNITED STATES DISTRICT COURT</vt:lpstr>
    </vt:vector>
  </TitlesOfParts>
  <Manager/>
  <Company/>
  <LinksUpToDate>false</LinksUpToDate>
  <CharactersWithSpaces>31158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cp:lastPrinted>2012-03-27T03:54:00Z</cp:lastPrinted>
  <dcterms:created xsi:type="dcterms:W3CDTF">2012-04-18T15:02:00Z</dcterms:created>
  <dcterms:modified xsi:type="dcterms:W3CDTF">2012-06-02T13:29:00Z</dcterms:modified>
  <cp:category/>
</cp:coreProperties>
</file>